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690D66" w:rsidP="00690D66">
      <w:pPr>
        <w:spacing w:line="220" w:lineRule="atLeast"/>
        <w:jc w:val="center"/>
        <w:rPr>
          <w:rFonts w:ascii="黑体" w:eastAsia="黑体" w:hAnsi="黑体"/>
          <w:b/>
          <w:sz w:val="52"/>
          <w:szCs w:val="52"/>
        </w:rPr>
      </w:pPr>
      <w:r w:rsidRPr="00690D66">
        <w:rPr>
          <w:rFonts w:ascii="黑体" w:eastAsia="黑体" w:hAnsi="黑体" w:hint="eastAsia"/>
          <w:b/>
          <w:sz w:val="52"/>
          <w:szCs w:val="52"/>
        </w:rPr>
        <w:t>中国银行</w:t>
      </w:r>
      <w:r w:rsidR="004E51E2">
        <w:rPr>
          <w:rFonts w:ascii="黑体" w:eastAsia="黑体" w:hAnsi="黑体" w:hint="eastAsia"/>
          <w:b/>
          <w:sz w:val="52"/>
          <w:szCs w:val="52"/>
        </w:rPr>
        <w:t>市场</w:t>
      </w:r>
      <w:r w:rsidRPr="00690D66">
        <w:rPr>
          <w:rFonts w:ascii="黑体" w:eastAsia="黑体" w:hAnsi="黑体" w:hint="eastAsia"/>
          <w:b/>
          <w:sz w:val="52"/>
          <w:szCs w:val="52"/>
        </w:rPr>
        <w:t>营销微观环境分析</w:t>
      </w:r>
    </w:p>
    <w:p w:rsidR="003F036F" w:rsidRDefault="003F036F" w:rsidP="003F036F">
      <w:pPr>
        <w:pStyle w:val="a3"/>
        <w:spacing w:line="220" w:lineRule="atLeast"/>
        <w:ind w:left="720" w:firstLineChars="0" w:firstLine="0"/>
        <w:jc w:val="right"/>
        <w:rPr>
          <w:rFonts w:ascii="黑体" w:eastAsia="黑体" w:hAnsi="黑体"/>
          <w:sz w:val="28"/>
          <w:szCs w:val="28"/>
        </w:rPr>
      </w:pPr>
    </w:p>
    <w:p w:rsidR="000D5BE4" w:rsidRDefault="000D5BE4" w:rsidP="00690D66">
      <w:pPr>
        <w:spacing w:line="220" w:lineRule="atLeast"/>
        <w:jc w:val="center"/>
        <w:rPr>
          <w:rFonts w:ascii="黑体" w:eastAsia="黑体" w:hAnsi="黑体"/>
          <w:b/>
          <w:sz w:val="52"/>
          <w:szCs w:val="52"/>
        </w:rPr>
      </w:pPr>
    </w:p>
    <w:p w:rsidR="000D5BE4" w:rsidRDefault="000D5BE4" w:rsidP="000D5BE4">
      <w:pPr>
        <w:spacing w:line="220" w:lineRule="atLeast"/>
        <w:rPr>
          <w:rFonts w:ascii="黑体" w:eastAsia="黑体" w:hAnsi="黑体"/>
          <w:b/>
          <w:sz w:val="52"/>
          <w:szCs w:val="52"/>
        </w:rPr>
      </w:pPr>
      <w:r>
        <w:rPr>
          <w:rFonts w:ascii="黑体" w:eastAsia="黑体" w:hAnsi="黑体" w:hint="eastAsia"/>
          <w:b/>
          <w:sz w:val="52"/>
          <w:szCs w:val="52"/>
        </w:rPr>
        <w:t>目录</w:t>
      </w:r>
    </w:p>
    <w:p w:rsidR="000D5BE4" w:rsidRDefault="000D5BE4" w:rsidP="000D5BE4">
      <w:pPr>
        <w:spacing w:line="220" w:lineRule="atLeast"/>
        <w:rPr>
          <w:rFonts w:ascii="黑体" w:eastAsia="黑体" w:hAnsi="黑体"/>
          <w:b/>
          <w:sz w:val="52"/>
          <w:szCs w:val="52"/>
        </w:rPr>
      </w:pPr>
    </w:p>
    <w:p w:rsidR="00690D66" w:rsidRDefault="00690D66" w:rsidP="00690D66">
      <w:pPr>
        <w:pStyle w:val="a3"/>
        <w:numPr>
          <w:ilvl w:val="0"/>
          <w:numId w:val="1"/>
        </w:numPr>
        <w:spacing w:line="220" w:lineRule="atLeast"/>
        <w:ind w:firstLineChars="0"/>
        <w:rPr>
          <w:rFonts w:ascii="黑体" w:eastAsia="黑体" w:hAnsi="黑体"/>
          <w:b/>
          <w:sz w:val="28"/>
          <w:szCs w:val="28"/>
        </w:rPr>
      </w:pPr>
      <w:r w:rsidRPr="00690D66">
        <w:rPr>
          <w:rFonts w:ascii="黑体" w:eastAsia="黑体" w:hAnsi="黑体" w:hint="eastAsia"/>
          <w:b/>
          <w:sz w:val="28"/>
          <w:szCs w:val="28"/>
        </w:rPr>
        <w:t>内部组织的效率</w:t>
      </w:r>
    </w:p>
    <w:p w:rsidR="000D5BE4" w:rsidRPr="000D5BE4" w:rsidRDefault="000D5BE4" w:rsidP="000D5BE4">
      <w:pPr>
        <w:spacing w:line="220" w:lineRule="atLeast"/>
        <w:rPr>
          <w:rFonts w:ascii="黑体" w:eastAsia="黑体" w:hAnsi="黑体"/>
          <w:b/>
          <w:sz w:val="28"/>
          <w:szCs w:val="28"/>
        </w:rPr>
      </w:pPr>
    </w:p>
    <w:p w:rsidR="00690D66" w:rsidRDefault="00690D66" w:rsidP="00690D66">
      <w:pPr>
        <w:pStyle w:val="a3"/>
        <w:numPr>
          <w:ilvl w:val="0"/>
          <w:numId w:val="1"/>
        </w:numPr>
        <w:spacing w:line="220" w:lineRule="atLeast"/>
        <w:ind w:firstLineChars="0"/>
        <w:rPr>
          <w:rFonts w:ascii="黑体" w:eastAsia="黑体" w:hAnsi="黑体"/>
          <w:b/>
          <w:sz w:val="28"/>
          <w:szCs w:val="28"/>
        </w:rPr>
      </w:pPr>
      <w:r>
        <w:rPr>
          <w:rFonts w:ascii="黑体" w:eastAsia="黑体" w:hAnsi="黑体" w:hint="eastAsia"/>
          <w:b/>
          <w:sz w:val="28"/>
          <w:szCs w:val="28"/>
        </w:rPr>
        <w:t>各部门协调状况</w:t>
      </w:r>
    </w:p>
    <w:p w:rsidR="000D5BE4" w:rsidRPr="000D5BE4" w:rsidRDefault="000D5BE4" w:rsidP="000D5BE4">
      <w:pPr>
        <w:spacing w:line="220" w:lineRule="atLeast"/>
        <w:rPr>
          <w:rFonts w:ascii="黑体" w:eastAsia="黑体" w:hAnsi="黑体"/>
          <w:b/>
          <w:sz w:val="28"/>
          <w:szCs w:val="28"/>
        </w:rPr>
      </w:pPr>
    </w:p>
    <w:p w:rsidR="00690D66" w:rsidRDefault="00690D66" w:rsidP="00690D66">
      <w:pPr>
        <w:pStyle w:val="a3"/>
        <w:numPr>
          <w:ilvl w:val="0"/>
          <w:numId w:val="1"/>
        </w:numPr>
        <w:spacing w:line="220" w:lineRule="atLeast"/>
        <w:ind w:firstLineChars="0"/>
        <w:rPr>
          <w:rFonts w:ascii="黑体" w:eastAsia="黑体" w:hAnsi="黑体"/>
          <w:b/>
          <w:sz w:val="28"/>
          <w:szCs w:val="28"/>
        </w:rPr>
      </w:pPr>
      <w:r>
        <w:rPr>
          <w:rFonts w:ascii="黑体" w:eastAsia="黑体" w:hAnsi="黑体" w:hint="eastAsia"/>
          <w:b/>
          <w:sz w:val="28"/>
          <w:szCs w:val="28"/>
        </w:rPr>
        <w:t>供应者与营销中介</w:t>
      </w:r>
    </w:p>
    <w:p w:rsidR="000D5BE4" w:rsidRPr="000D5BE4" w:rsidRDefault="000D5BE4" w:rsidP="000D5BE4">
      <w:pPr>
        <w:spacing w:line="220" w:lineRule="atLeast"/>
        <w:rPr>
          <w:rFonts w:ascii="黑体" w:eastAsia="黑体" w:hAnsi="黑体"/>
          <w:b/>
          <w:sz w:val="28"/>
          <w:szCs w:val="28"/>
        </w:rPr>
      </w:pPr>
    </w:p>
    <w:p w:rsidR="00690D66" w:rsidRDefault="00690D66" w:rsidP="00690D66">
      <w:pPr>
        <w:pStyle w:val="a3"/>
        <w:numPr>
          <w:ilvl w:val="0"/>
          <w:numId w:val="1"/>
        </w:numPr>
        <w:spacing w:line="220" w:lineRule="atLeast"/>
        <w:ind w:firstLineChars="0"/>
        <w:rPr>
          <w:rFonts w:ascii="黑体" w:eastAsia="黑体" w:hAnsi="黑体"/>
          <w:b/>
          <w:sz w:val="28"/>
          <w:szCs w:val="28"/>
        </w:rPr>
      </w:pPr>
      <w:r>
        <w:rPr>
          <w:rFonts w:ascii="黑体" w:eastAsia="黑体" w:hAnsi="黑体" w:hint="eastAsia"/>
          <w:b/>
          <w:sz w:val="28"/>
          <w:szCs w:val="28"/>
        </w:rPr>
        <w:t>顾客</w:t>
      </w:r>
    </w:p>
    <w:p w:rsidR="000D5BE4" w:rsidRPr="000D5BE4" w:rsidRDefault="000D5BE4" w:rsidP="000D5BE4">
      <w:pPr>
        <w:spacing w:line="220" w:lineRule="atLeast"/>
        <w:rPr>
          <w:rFonts w:ascii="黑体" w:eastAsia="黑体" w:hAnsi="黑体"/>
          <w:b/>
          <w:sz w:val="28"/>
          <w:szCs w:val="28"/>
        </w:rPr>
      </w:pPr>
    </w:p>
    <w:p w:rsidR="00690D66" w:rsidRDefault="00690D66" w:rsidP="00690D66">
      <w:pPr>
        <w:pStyle w:val="a3"/>
        <w:numPr>
          <w:ilvl w:val="0"/>
          <w:numId w:val="1"/>
        </w:numPr>
        <w:spacing w:line="220" w:lineRule="atLeast"/>
        <w:ind w:firstLineChars="0"/>
        <w:rPr>
          <w:rFonts w:ascii="黑体" w:eastAsia="黑体" w:hAnsi="黑体"/>
          <w:b/>
          <w:sz w:val="28"/>
          <w:szCs w:val="28"/>
        </w:rPr>
      </w:pPr>
      <w:r>
        <w:rPr>
          <w:rFonts w:ascii="黑体" w:eastAsia="黑体" w:hAnsi="黑体" w:hint="eastAsia"/>
          <w:b/>
          <w:sz w:val="28"/>
          <w:szCs w:val="28"/>
        </w:rPr>
        <w:t>竞争对手</w:t>
      </w:r>
    </w:p>
    <w:p w:rsidR="000D5BE4" w:rsidRPr="000D5BE4" w:rsidRDefault="000D5BE4" w:rsidP="000D5BE4">
      <w:pPr>
        <w:spacing w:line="220" w:lineRule="atLeast"/>
        <w:rPr>
          <w:rFonts w:ascii="黑体" w:eastAsia="黑体" w:hAnsi="黑体"/>
          <w:b/>
          <w:sz w:val="28"/>
          <w:szCs w:val="28"/>
        </w:rPr>
      </w:pPr>
    </w:p>
    <w:p w:rsidR="00690D66" w:rsidRDefault="00690D66" w:rsidP="00690D66">
      <w:pPr>
        <w:pStyle w:val="a3"/>
        <w:numPr>
          <w:ilvl w:val="0"/>
          <w:numId w:val="1"/>
        </w:numPr>
        <w:spacing w:line="220" w:lineRule="atLeast"/>
        <w:ind w:firstLineChars="0"/>
        <w:rPr>
          <w:rFonts w:ascii="黑体" w:eastAsia="黑体" w:hAnsi="黑体"/>
          <w:b/>
          <w:sz w:val="28"/>
          <w:szCs w:val="28"/>
        </w:rPr>
      </w:pPr>
      <w:r>
        <w:rPr>
          <w:rFonts w:ascii="黑体" w:eastAsia="黑体" w:hAnsi="黑体" w:hint="eastAsia"/>
          <w:b/>
          <w:sz w:val="28"/>
          <w:szCs w:val="28"/>
        </w:rPr>
        <w:t>替代品状况</w:t>
      </w:r>
    </w:p>
    <w:p w:rsidR="000D5BE4" w:rsidRPr="000D5BE4" w:rsidRDefault="000D5BE4" w:rsidP="000D5BE4">
      <w:pPr>
        <w:spacing w:line="220" w:lineRule="atLeast"/>
        <w:rPr>
          <w:rFonts w:ascii="黑体" w:eastAsia="黑体" w:hAnsi="黑体"/>
          <w:b/>
          <w:sz w:val="28"/>
          <w:szCs w:val="28"/>
        </w:rPr>
      </w:pPr>
    </w:p>
    <w:p w:rsidR="00690D66" w:rsidRPr="00690D66" w:rsidRDefault="00690D66" w:rsidP="00690D66">
      <w:pPr>
        <w:pStyle w:val="a3"/>
        <w:numPr>
          <w:ilvl w:val="0"/>
          <w:numId w:val="1"/>
        </w:numPr>
        <w:spacing w:line="220" w:lineRule="atLeast"/>
        <w:ind w:firstLineChars="0"/>
        <w:rPr>
          <w:rFonts w:ascii="黑体" w:eastAsia="黑体" w:hAnsi="黑体"/>
          <w:b/>
          <w:sz w:val="28"/>
          <w:szCs w:val="28"/>
        </w:rPr>
      </w:pPr>
      <w:r>
        <w:rPr>
          <w:rFonts w:ascii="黑体" w:eastAsia="黑体" w:hAnsi="黑体" w:hint="eastAsia"/>
          <w:b/>
          <w:sz w:val="28"/>
          <w:szCs w:val="28"/>
        </w:rPr>
        <w:t>公众</w:t>
      </w:r>
    </w:p>
    <w:p w:rsidR="000D5BE4" w:rsidRPr="008F7C9F" w:rsidRDefault="00630339" w:rsidP="008F7C9F">
      <w:pPr>
        <w:tabs>
          <w:tab w:val="left" w:pos="7288"/>
        </w:tabs>
        <w:spacing w:line="220" w:lineRule="atLeast"/>
        <w:rPr>
          <w:rFonts w:ascii="黑体" w:eastAsia="黑体" w:hAnsi="黑体"/>
          <w:sz w:val="28"/>
          <w:szCs w:val="28"/>
        </w:rPr>
      </w:pPr>
      <w:r w:rsidRPr="008F7C9F">
        <w:rPr>
          <w:rFonts w:ascii="黑体" w:eastAsia="黑体" w:hAnsi="黑体"/>
          <w:sz w:val="28"/>
          <w:szCs w:val="28"/>
        </w:rPr>
        <w:tab/>
      </w:r>
    </w:p>
    <w:p w:rsidR="000D5BE4" w:rsidRPr="000D5BE4" w:rsidRDefault="000D5BE4" w:rsidP="000D5BE4">
      <w:pPr>
        <w:spacing w:line="220" w:lineRule="atLeast"/>
        <w:rPr>
          <w:rFonts w:ascii="黑体" w:eastAsia="黑体" w:hAnsi="黑体"/>
          <w:b/>
          <w:sz w:val="24"/>
          <w:szCs w:val="24"/>
        </w:rPr>
      </w:pPr>
    </w:p>
    <w:p w:rsidR="00690D66" w:rsidRPr="00054611" w:rsidRDefault="000D5BE4" w:rsidP="000D5BE4">
      <w:pPr>
        <w:pStyle w:val="a3"/>
        <w:numPr>
          <w:ilvl w:val="0"/>
          <w:numId w:val="2"/>
        </w:numPr>
        <w:spacing w:line="220" w:lineRule="atLeast"/>
        <w:ind w:firstLineChars="0"/>
        <w:rPr>
          <w:rFonts w:ascii="黑体" w:eastAsia="黑体" w:hAnsi="黑体"/>
          <w:b/>
          <w:sz w:val="24"/>
          <w:szCs w:val="24"/>
        </w:rPr>
      </w:pPr>
      <w:r w:rsidRPr="00054611">
        <w:rPr>
          <w:rFonts w:ascii="黑体" w:eastAsia="黑体" w:hAnsi="黑体" w:hint="eastAsia"/>
          <w:b/>
          <w:sz w:val="24"/>
          <w:szCs w:val="24"/>
        </w:rPr>
        <w:t>中国银行内部组织的效率</w:t>
      </w:r>
    </w:p>
    <w:p w:rsidR="000D5BE4" w:rsidRDefault="000D5BE4" w:rsidP="000D5BE4">
      <w:pPr>
        <w:pStyle w:val="a3"/>
        <w:spacing w:line="220" w:lineRule="atLeast"/>
        <w:ind w:left="480" w:firstLineChars="0" w:firstLine="0"/>
        <w:rPr>
          <w:rFonts w:ascii="黑体" w:eastAsia="黑体" w:hAnsi="黑体"/>
          <w:b/>
          <w:sz w:val="24"/>
          <w:szCs w:val="24"/>
        </w:rPr>
      </w:pPr>
      <w:r w:rsidRPr="00054611">
        <w:rPr>
          <w:rFonts w:ascii="黑体" w:eastAsia="黑体" w:hAnsi="黑体" w:hint="eastAsia"/>
          <w:b/>
          <w:sz w:val="24"/>
          <w:szCs w:val="24"/>
        </w:rPr>
        <w:t>（一）、组织结构</w:t>
      </w:r>
    </w:p>
    <w:p w:rsidR="000B63C3" w:rsidRPr="002F3EE1" w:rsidRDefault="000D5BE4" w:rsidP="002F3EE1">
      <w:pPr>
        <w:pStyle w:val="a3"/>
        <w:spacing w:line="220" w:lineRule="atLeast"/>
        <w:ind w:left="480" w:firstLineChars="0" w:firstLine="0"/>
        <w:rPr>
          <w:rFonts w:ascii="黑体" w:eastAsia="黑体" w:hAnsi="黑体"/>
          <w:sz w:val="24"/>
          <w:szCs w:val="24"/>
        </w:rPr>
      </w:pPr>
      <w:r>
        <w:rPr>
          <w:rFonts w:ascii="黑体" w:eastAsia="黑体" w:hAnsi="黑体"/>
          <w:noProof/>
          <w:sz w:val="24"/>
          <w:szCs w:val="24"/>
        </w:rPr>
        <w:lastRenderedPageBreak/>
        <w:drawing>
          <wp:inline distT="0" distB="0" distL="0" distR="0">
            <wp:extent cx="4933950" cy="3789275"/>
            <wp:effectExtent l="19050" t="0" r="0" b="0"/>
            <wp:docPr id="1" name="图片 0" descr="W020110908639030939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020110908639030939307.jpg"/>
                    <pic:cNvPicPr/>
                  </pic:nvPicPr>
                  <pic:blipFill>
                    <a:blip r:embed="rId7" cstate="print"/>
                    <a:stretch>
                      <a:fillRect/>
                    </a:stretch>
                  </pic:blipFill>
                  <pic:spPr>
                    <a:xfrm>
                      <a:off x="0" y="0"/>
                      <a:ext cx="4931809" cy="3787631"/>
                    </a:xfrm>
                    <a:prstGeom prst="rect">
                      <a:avLst/>
                    </a:prstGeom>
                  </pic:spPr>
                </pic:pic>
              </a:graphicData>
            </a:graphic>
          </wp:inline>
        </w:drawing>
      </w:r>
    </w:p>
    <w:p w:rsidR="00757BD1" w:rsidRPr="00C85C97" w:rsidRDefault="00757BD1" w:rsidP="00C85C97">
      <w:pPr>
        <w:spacing w:line="220" w:lineRule="atLeast"/>
        <w:rPr>
          <w:rFonts w:ascii="黑体" w:eastAsia="黑体" w:hAnsi="黑体"/>
          <w:b/>
          <w:sz w:val="24"/>
          <w:szCs w:val="24"/>
        </w:rPr>
      </w:pPr>
      <w:r w:rsidRPr="00C85C97">
        <w:rPr>
          <w:rFonts w:ascii="黑体" w:eastAsia="黑体" w:hAnsi="黑体" w:hint="eastAsia"/>
          <w:b/>
          <w:sz w:val="24"/>
          <w:szCs w:val="24"/>
        </w:rPr>
        <w:t>（二）、规章制度</w:t>
      </w:r>
    </w:p>
    <w:p w:rsidR="00757BD1" w:rsidRPr="00837257" w:rsidRDefault="00757BD1" w:rsidP="00837257">
      <w:pPr>
        <w:ind w:firstLineChars="200" w:firstLine="480"/>
        <w:rPr>
          <w:rFonts w:ascii="黑体" w:eastAsia="黑体" w:hAnsi="黑体"/>
          <w:sz w:val="24"/>
          <w:szCs w:val="24"/>
        </w:rPr>
      </w:pPr>
      <w:r w:rsidRPr="00837257">
        <w:rPr>
          <w:rFonts w:ascii="黑体" w:eastAsia="黑体" w:hAnsi="黑体" w:hint="eastAsia"/>
          <w:sz w:val="24"/>
          <w:szCs w:val="24"/>
        </w:rPr>
        <w:t>法人治理结构是现代公司制的核心。中国银行始终将良好公司治理作为提升股东价值和投资者信心的重要手段，在创造良好经营业绩的同时，持续完善权责明确、有效制衡、协调运转的公司治理机制。</w:t>
      </w:r>
    </w:p>
    <w:p w:rsidR="00837257" w:rsidRPr="00837257" w:rsidRDefault="00837257" w:rsidP="00837257">
      <w:pPr>
        <w:ind w:firstLineChars="200" w:firstLine="480"/>
        <w:rPr>
          <w:rFonts w:ascii="黑体" w:eastAsia="黑体" w:hAnsi="黑体"/>
          <w:sz w:val="24"/>
          <w:szCs w:val="24"/>
        </w:rPr>
      </w:pPr>
      <w:r w:rsidRPr="00837257">
        <w:rPr>
          <w:rFonts w:ascii="黑体" w:eastAsia="黑体" w:hAnsi="黑体" w:hint="eastAsia"/>
          <w:sz w:val="24"/>
          <w:szCs w:val="24"/>
        </w:rPr>
        <w:t>中国银行严格遵守《公司法》、《商业银行法》等法律及监管部门的</w:t>
      </w:r>
      <w:r w:rsidR="00757BD1" w:rsidRPr="00837257">
        <w:rPr>
          <w:rFonts w:ascii="黑体" w:eastAsia="黑体" w:hAnsi="黑体" w:hint="eastAsia"/>
          <w:sz w:val="24"/>
          <w:szCs w:val="24"/>
        </w:rPr>
        <w:t>相关法规，以自身的公司治理实践经验为基础，不断制定和更新公司治理规范性文件，完善由股东大会、董事会、监事会和高级管理层构建的现代股份制公司治理架构，持续提升公司治理水平。</w:t>
      </w:r>
    </w:p>
    <w:p w:rsidR="00837257" w:rsidRDefault="00837257" w:rsidP="00837257">
      <w:pPr>
        <w:spacing w:line="220" w:lineRule="atLeast"/>
        <w:ind w:firstLineChars="200" w:firstLine="480"/>
        <w:jc w:val="both"/>
        <w:rPr>
          <w:rFonts w:ascii="黑体" w:eastAsia="黑体" w:hAnsi="黑体"/>
          <w:sz w:val="24"/>
          <w:szCs w:val="24"/>
        </w:rPr>
      </w:pPr>
      <w:r w:rsidRPr="008E6AA5">
        <w:rPr>
          <w:rFonts w:ascii="黑体" w:eastAsia="黑体" w:hAnsi="黑体" w:hint="eastAsia"/>
          <w:sz w:val="24"/>
          <w:szCs w:val="24"/>
        </w:rPr>
        <w:t>中国银行建立了内部控制三道防线：全行各级机构、各业务管理部门和每个员工在承担业务发展任务的同时也承担内部控制的责任，是内部控制的第一道防线，通过自我评估、自我检查、自我整改、自我培训，实现自我控制。法律合规部门与业务条线部门负责统筹内部控制制度建设，指导、检查、监督和评估第一道防线的工作，是内部控制第二道防线。稽核部门负责通过系统化和规范化的方式，检查评价全行经营活动、风险管理、内部控制和公司治理的适当性和有效性，是内部控制的第三道防线。</w:t>
      </w:r>
    </w:p>
    <w:p w:rsidR="00837257" w:rsidRPr="00757BD1" w:rsidRDefault="00837257" w:rsidP="00837257">
      <w:pPr>
        <w:pStyle w:val="a3"/>
        <w:spacing w:line="220" w:lineRule="atLeast"/>
        <w:ind w:left="482" w:firstLine="480"/>
        <w:jc w:val="both"/>
        <w:rPr>
          <w:rFonts w:ascii="黑体" w:eastAsia="黑体" w:hAnsi="黑体"/>
          <w:sz w:val="24"/>
          <w:szCs w:val="24"/>
        </w:rPr>
      </w:pPr>
    </w:p>
    <w:p w:rsidR="00757BD1" w:rsidRPr="00C85C97" w:rsidRDefault="00757BD1" w:rsidP="00C85C97">
      <w:pPr>
        <w:tabs>
          <w:tab w:val="left" w:pos="1716"/>
        </w:tabs>
        <w:spacing w:line="220" w:lineRule="atLeast"/>
        <w:rPr>
          <w:rFonts w:ascii="黑体" w:eastAsia="黑体" w:hAnsi="黑体"/>
          <w:b/>
          <w:sz w:val="24"/>
          <w:szCs w:val="24"/>
        </w:rPr>
      </w:pPr>
    </w:p>
    <w:p w:rsidR="007076CF" w:rsidRPr="00C85C97" w:rsidRDefault="003E0BCB" w:rsidP="00C85C97">
      <w:pPr>
        <w:spacing w:line="220" w:lineRule="atLeast"/>
        <w:rPr>
          <w:rFonts w:ascii="黑体" w:eastAsia="黑体" w:hAnsi="黑体"/>
          <w:b/>
          <w:sz w:val="24"/>
          <w:szCs w:val="24"/>
        </w:rPr>
      </w:pPr>
      <w:r>
        <w:rPr>
          <w:rFonts w:ascii="黑体" w:eastAsia="黑体" w:hAnsi="黑体" w:hint="eastAsia"/>
          <w:b/>
          <w:sz w:val="24"/>
          <w:szCs w:val="24"/>
        </w:rPr>
        <w:t>（三</w:t>
      </w:r>
      <w:r w:rsidR="007076CF" w:rsidRPr="00C85C97">
        <w:rPr>
          <w:rFonts w:ascii="黑体" w:eastAsia="黑体" w:hAnsi="黑体" w:hint="eastAsia"/>
          <w:b/>
          <w:sz w:val="24"/>
          <w:szCs w:val="24"/>
        </w:rPr>
        <w:t>）、信息资源</w:t>
      </w:r>
    </w:p>
    <w:p w:rsidR="007076CF" w:rsidRDefault="007076CF" w:rsidP="007076CF">
      <w:pPr>
        <w:pStyle w:val="a3"/>
        <w:spacing w:line="220" w:lineRule="atLeast"/>
        <w:ind w:left="482" w:firstLine="480"/>
        <w:rPr>
          <w:rFonts w:ascii="黑体" w:eastAsia="黑体" w:hAnsi="黑体"/>
          <w:sz w:val="24"/>
          <w:szCs w:val="24"/>
        </w:rPr>
      </w:pPr>
      <w:r>
        <w:rPr>
          <w:rFonts w:ascii="黑体" w:eastAsia="黑体" w:hAnsi="黑体" w:hint="eastAsia"/>
          <w:sz w:val="24"/>
          <w:szCs w:val="24"/>
        </w:rPr>
        <w:t>中国银行将CRM</w:t>
      </w:r>
      <w:r w:rsidR="00B51C63">
        <w:rPr>
          <w:rFonts w:ascii="黑体" w:eastAsia="黑体" w:hAnsi="黑体" w:hint="eastAsia"/>
          <w:sz w:val="24"/>
          <w:szCs w:val="24"/>
        </w:rPr>
        <w:t>（客户关系管理）</w:t>
      </w:r>
      <w:r>
        <w:rPr>
          <w:rFonts w:ascii="黑体" w:eastAsia="黑体" w:hAnsi="黑体" w:hint="eastAsia"/>
          <w:sz w:val="24"/>
          <w:szCs w:val="24"/>
        </w:rPr>
        <w:t>系统同BI进行整合，使大量数据能够智能分析出成千上万条线索，并且将</w:t>
      </w:r>
      <w:r w:rsidR="00B51C63">
        <w:rPr>
          <w:rFonts w:ascii="黑体" w:eastAsia="黑体" w:hAnsi="黑体" w:hint="eastAsia"/>
          <w:sz w:val="24"/>
          <w:szCs w:val="24"/>
        </w:rPr>
        <w:t>这些</w:t>
      </w:r>
      <w:r>
        <w:rPr>
          <w:rFonts w:ascii="黑体" w:eastAsia="黑体" w:hAnsi="黑体" w:hint="eastAsia"/>
          <w:sz w:val="24"/>
          <w:szCs w:val="24"/>
        </w:rPr>
        <w:t>线索提交给各个支行部门，让</w:t>
      </w:r>
      <w:r>
        <w:rPr>
          <w:rFonts w:ascii="黑体" w:eastAsia="黑体" w:hAnsi="黑体" w:hint="eastAsia"/>
          <w:sz w:val="24"/>
          <w:szCs w:val="24"/>
        </w:rPr>
        <w:lastRenderedPageBreak/>
        <w:t>不同定位的支行满足不同客户的需求，从而提高了客户沟通的有效性，同BI整合后的CRM系统提供了最大化客户终生价值的能力以及协调所有客户访问渠道的能力。</w:t>
      </w:r>
      <w:r w:rsidRPr="007076CF">
        <w:rPr>
          <w:rFonts w:ascii="黑体" w:eastAsia="黑体" w:hAnsi="黑体" w:hint="eastAsia"/>
          <w:sz w:val="24"/>
          <w:szCs w:val="24"/>
        </w:rPr>
        <w:t>使得其取得了大量潜在客户和老客户的存款及投资，其营业利润也有了大幅提升。</w:t>
      </w:r>
    </w:p>
    <w:p w:rsidR="00B51C63" w:rsidRPr="007076CF" w:rsidRDefault="00B51C63" w:rsidP="008E6AA5">
      <w:pPr>
        <w:pStyle w:val="a3"/>
        <w:spacing w:line="220" w:lineRule="atLeast"/>
        <w:ind w:left="482" w:firstLine="480"/>
        <w:jc w:val="both"/>
        <w:rPr>
          <w:rFonts w:ascii="黑体" w:eastAsia="黑体" w:hAnsi="黑体"/>
          <w:sz w:val="24"/>
          <w:szCs w:val="24"/>
        </w:rPr>
      </w:pPr>
      <w:r>
        <w:rPr>
          <w:rFonts w:ascii="黑体" w:eastAsia="黑体" w:hAnsi="黑体" w:hint="eastAsia"/>
          <w:sz w:val="24"/>
          <w:szCs w:val="24"/>
        </w:rPr>
        <w:t>中国银行每天会将所收集的客户数据放到数据仓库中，并通过BI模块对客户交易状态进行管理，对一些非正常的交易金额通过调差分析后进行专门的处理。一旦有客户状态异常的情况发生，数据仓库会自动做出相关统计，并将统计的结果提交给营销部门的人员，有营销人员及时与客户进行接触，找出客户状态异常的原因。</w:t>
      </w:r>
    </w:p>
    <w:p w:rsidR="007076CF" w:rsidRPr="007076CF" w:rsidRDefault="0094306E" w:rsidP="0094306E">
      <w:pPr>
        <w:pStyle w:val="a3"/>
        <w:spacing w:line="220" w:lineRule="atLeast"/>
        <w:ind w:left="482" w:firstLine="480"/>
        <w:rPr>
          <w:rFonts w:ascii="黑体" w:eastAsia="黑体" w:hAnsi="黑体"/>
          <w:sz w:val="24"/>
          <w:szCs w:val="24"/>
        </w:rPr>
      </w:pPr>
      <w:r>
        <w:rPr>
          <w:rFonts w:ascii="黑体" w:eastAsia="黑体" w:hAnsi="黑体" w:hint="eastAsia"/>
          <w:sz w:val="24"/>
          <w:szCs w:val="24"/>
        </w:rPr>
        <w:t>近期，华为推出</w:t>
      </w:r>
      <w:proofErr w:type="spellStart"/>
      <w:r>
        <w:rPr>
          <w:rFonts w:ascii="黑体" w:eastAsia="黑体" w:hAnsi="黑体" w:hint="eastAsia"/>
          <w:sz w:val="24"/>
          <w:szCs w:val="24"/>
        </w:rPr>
        <w:t>HuaweiPay</w:t>
      </w:r>
      <w:proofErr w:type="spellEnd"/>
      <w:r>
        <w:rPr>
          <w:rFonts w:ascii="黑体" w:eastAsia="黑体" w:hAnsi="黑体" w:hint="eastAsia"/>
          <w:sz w:val="24"/>
          <w:szCs w:val="24"/>
        </w:rPr>
        <w:t xml:space="preserve"> 移动支付功能，与中国银行签订合作协议。</w:t>
      </w:r>
      <w:r w:rsidRPr="0094306E">
        <w:rPr>
          <w:rFonts w:ascii="黑体" w:eastAsia="黑体" w:hAnsi="黑体" w:hint="eastAsia"/>
          <w:sz w:val="24"/>
          <w:szCs w:val="24"/>
        </w:rPr>
        <w:t>NFC近场通信技术是由非接触式射频识别（RFID）及互联互通技术整合演变而来，在单一芯片上结合感应式读卡器、感应式卡片和点对点的功能，能在短距离内与兼容设备进行识别和数据交换</w:t>
      </w:r>
      <w:r w:rsidR="00222651">
        <w:rPr>
          <w:rFonts w:ascii="黑体" w:eastAsia="黑体" w:hAnsi="黑体" w:hint="eastAsia"/>
          <w:sz w:val="24"/>
          <w:szCs w:val="24"/>
        </w:rPr>
        <w:t>。只要将手机开启NFC支付功能并绑定银行卡，在消费时将手机靠近POS机，然后验证指纹，就可以完成支付。</w:t>
      </w:r>
    </w:p>
    <w:p w:rsidR="00054611" w:rsidRPr="00C85C97" w:rsidRDefault="003E0BCB" w:rsidP="00C85C97">
      <w:pPr>
        <w:spacing w:line="220" w:lineRule="atLeast"/>
        <w:jc w:val="both"/>
        <w:rPr>
          <w:rFonts w:ascii="黑体" w:eastAsia="黑体" w:hAnsi="黑体"/>
          <w:b/>
          <w:sz w:val="24"/>
          <w:szCs w:val="24"/>
        </w:rPr>
      </w:pPr>
      <w:r>
        <w:rPr>
          <w:rFonts w:ascii="黑体" w:eastAsia="黑体" w:hAnsi="黑体" w:hint="eastAsia"/>
          <w:b/>
          <w:sz w:val="24"/>
          <w:szCs w:val="24"/>
        </w:rPr>
        <w:t>（四</w:t>
      </w:r>
      <w:r w:rsidR="00657BBC" w:rsidRPr="00C85C97">
        <w:rPr>
          <w:rFonts w:ascii="黑体" w:eastAsia="黑体" w:hAnsi="黑体" w:hint="eastAsia"/>
          <w:b/>
          <w:sz w:val="24"/>
          <w:szCs w:val="24"/>
        </w:rPr>
        <w:t>）、企业文化</w:t>
      </w:r>
    </w:p>
    <w:p w:rsidR="00054611" w:rsidRPr="007A2732" w:rsidRDefault="00A454D4" w:rsidP="008E6AA5">
      <w:pPr>
        <w:pStyle w:val="a3"/>
        <w:spacing w:line="220" w:lineRule="atLeast"/>
        <w:ind w:left="482" w:firstLine="480"/>
        <w:jc w:val="both"/>
        <w:rPr>
          <w:rFonts w:ascii="黑体" w:eastAsia="黑体" w:hAnsi="黑体"/>
          <w:sz w:val="24"/>
          <w:szCs w:val="24"/>
        </w:rPr>
      </w:pPr>
      <w:r w:rsidRPr="00A454D4">
        <w:rPr>
          <w:rFonts w:ascii="黑体" w:eastAsia="黑体" w:hAnsi="黑体" w:hint="eastAsia"/>
          <w:sz w:val="24"/>
          <w:szCs w:val="24"/>
        </w:rPr>
        <w:t>中国银行的发展战略，按照比较优势，合理配置资源，不断推出差别性的产品与服务；调整与改进内部运行机制，进一步完善风险管理体系，使信贷决策更加科学与透明；按照审慎的会计原则处理业务，增加透明度；建立严格的目标责任制以及服务于这一制度的激励约束机制；加强教育和培训，培育中行文化。</w:t>
      </w:r>
    </w:p>
    <w:p w:rsidR="006C2DBE" w:rsidRPr="007A2732" w:rsidRDefault="001A4487" w:rsidP="007A2732">
      <w:pPr>
        <w:pStyle w:val="a3"/>
        <w:spacing w:line="220" w:lineRule="atLeast"/>
        <w:ind w:left="480" w:firstLineChars="0" w:firstLine="0"/>
        <w:rPr>
          <w:rFonts w:ascii="黑体" w:eastAsia="黑体" w:hAnsi="黑体"/>
          <w:sz w:val="24"/>
          <w:szCs w:val="24"/>
        </w:rPr>
      </w:pPr>
      <w:r>
        <w:rPr>
          <w:rFonts w:ascii="黑体" w:eastAsia="黑体" w:hAnsi="黑体"/>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197.4pt;margin-top:3.6pt;width:207.6pt;height:204.8pt;z-index:251661312" fillcolor="#dbe5f1 [660]">
            <v:textbox>
              <w:txbxContent>
                <w:p w:rsidR="007A2732" w:rsidRDefault="007A2732" w:rsidP="007A2732">
                  <w:pPr>
                    <w:jc w:val="center"/>
                  </w:pPr>
                  <w:r>
                    <w:rPr>
                      <w:rFonts w:hint="eastAsia"/>
                    </w:rPr>
                    <w:t>战略定位</w:t>
                  </w:r>
                </w:p>
                <w:p w:rsidR="007A2732" w:rsidRDefault="007A2732" w:rsidP="007A2732">
                  <w:pPr>
                    <w:jc w:val="center"/>
                  </w:pPr>
                </w:p>
                <w:p w:rsidR="007A2732" w:rsidRDefault="007A2732">
                  <w:r>
                    <w:rPr>
                      <w:rFonts w:hint="eastAsia"/>
                    </w:rPr>
                    <w:t>在民族复兴中担当重任</w:t>
                  </w:r>
                </w:p>
                <w:p w:rsidR="007A2732" w:rsidRDefault="007A2732">
                  <w:r>
                    <w:rPr>
                      <w:rFonts w:hint="eastAsia"/>
                    </w:rPr>
                    <w:t>在全球化进程中有事领先</w:t>
                  </w:r>
                </w:p>
                <w:p w:rsidR="007A2732" w:rsidRDefault="007A2732">
                  <w:r>
                    <w:rPr>
                      <w:rFonts w:hint="eastAsia"/>
                    </w:rPr>
                    <w:t>在科技变革中引领生活方式</w:t>
                  </w:r>
                </w:p>
                <w:p w:rsidR="007A2732" w:rsidRDefault="007A2732">
                  <w:r>
                    <w:rPr>
                      <w:rFonts w:hint="eastAsia"/>
                    </w:rPr>
                    <w:t>在市场竞争中赢得客户追随</w:t>
                  </w:r>
                </w:p>
                <w:p w:rsidR="007A2732" w:rsidRDefault="007A2732">
                  <w:r>
                    <w:rPr>
                      <w:rFonts w:hint="eastAsia"/>
                    </w:rPr>
                    <w:t>在持续发展中让股东、员工和社会满意</w:t>
                  </w:r>
                </w:p>
                <w:p w:rsidR="007A2732" w:rsidRDefault="007A2732"/>
              </w:txbxContent>
            </v:textbox>
          </v:shape>
        </w:pict>
      </w:r>
      <w:r>
        <w:rPr>
          <w:rFonts w:ascii="黑体" w:eastAsia="黑体" w:hAnsi="黑体"/>
          <w:noProof/>
          <w:sz w:val="24"/>
          <w:szCs w:val="24"/>
        </w:rPr>
        <w:pict>
          <v:shape id="_x0000_s1029" type="#_x0000_t202" style="position:absolute;left:0;text-align:left;margin-left:23.4pt;margin-top:3.6pt;width:164.55pt;height:80.3pt;z-index:251663360;mso-width-percent:400;mso-width-percent:400;mso-width-relative:margin;mso-height-relative:margin" fillcolor="#dbe5f1 [660]">
            <v:textbox>
              <w:txbxContent>
                <w:p w:rsidR="007A2732" w:rsidRDefault="007A2732" w:rsidP="007A2732">
                  <w:pPr>
                    <w:jc w:val="center"/>
                  </w:pPr>
                  <w:r>
                    <w:rPr>
                      <w:rFonts w:hint="eastAsia"/>
                    </w:rPr>
                    <w:t>发展战略</w:t>
                  </w:r>
                </w:p>
                <w:p w:rsidR="007A2732" w:rsidRDefault="007A2732">
                  <w:r>
                    <w:rPr>
                      <w:rFonts w:hint="eastAsia"/>
                    </w:rPr>
                    <w:t>担当社会责任，做最好的银行</w:t>
                  </w:r>
                </w:p>
              </w:txbxContent>
            </v:textbox>
          </v:shape>
        </w:pict>
      </w:r>
    </w:p>
    <w:p w:rsidR="007A2732" w:rsidRDefault="007A2732" w:rsidP="007A2732">
      <w:pPr>
        <w:spacing w:line="220" w:lineRule="atLeast"/>
        <w:ind w:firstLineChars="175" w:firstLine="420"/>
        <w:rPr>
          <w:rFonts w:ascii="黑体" w:eastAsia="黑体" w:hAnsi="黑体"/>
          <w:sz w:val="24"/>
          <w:szCs w:val="24"/>
        </w:rPr>
      </w:pPr>
    </w:p>
    <w:p w:rsidR="007A2732" w:rsidRDefault="007A2732" w:rsidP="006C2DBE">
      <w:pPr>
        <w:spacing w:line="220" w:lineRule="atLeast"/>
        <w:ind w:firstLineChars="175" w:firstLine="420"/>
        <w:rPr>
          <w:rFonts w:ascii="黑体" w:eastAsia="黑体" w:hAnsi="黑体"/>
          <w:sz w:val="24"/>
          <w:szCs w:val="24"/>
        </w:rPr>
      </w:pPr>
    </w:p>
    <w:p w:rsidR="007A2732" w:rsidRDefault="007A2732" w:rsidP="006C2DBE">
      <w:pPr>
        <w:spacing w:line="220" w:lineRule="atLeast"/>
        <w:ind w:firstLineChars="175" w:firstLine="420"/>
        <w:rPr>
          <w:rFonts w:ascii="黑体" w:eastAsia="黑体" w:hAnsi="黑体"/>
          <w:sz w:val="24"/>
          <w:szCs w:val="24"/>
        </w:rPr>
      </w:pPr>
    </w:p>
    <w:p w:rsidR="007A2732" w:rsidRDefault="001A4487" w:rsidP="006C2DBE">
      <w:pPr>
        <w:spacing w:line="220" w:lineRule="atLeast"/>
        <w:ind w:firstLineChars="175" w:firstLine="420"/>
        <w:rPr>
          <w:rFonts w:ascii="黑体" w:eastAsia="黑体" w:hAnsi="黑体"/>
          <w:sz w:val="24"/>
          <w:szCs w:val="24"/>
        </w:rPr>
      </w:pPr>
      <w:r>
        <w:rPr>
          <w:rFonts w:ascii="黑体" w:eastAsia="黑体" w:hAnsi="黑体"/>
          <w:noProof/>
          <w:sz w:val="24"/>
          <w:szCs w:val="24"/>
        </w:rPr>
        <w:pict>
          <v:shape id="_x0000_s1027" type="#_x0000_t202" style="position:absolute;left:0;text-align:left;margin-left:22.8pt;margin-top:11.2pt;width:165.25pt;height:94.55pt;z-index:251660288;mso-width-percent:400;mso-height-percent:200;mso-width-percent:400;mso-height-percent:200;mso-width-relative:margin;mso-height-relative:margin" fillcolor="#dbe5f1 [660]">
            <v:textbox style="mso-fit-shape-to-text:t">
              <w:txbxContent>
                <w:p w:rsidR="007A2732" w:rsidRDefault="007A2732" w:rsidP="007A2732">
                  <w:pPr>
                    <w:jc w:val="center"/>
                  </w:pPr>
                  <w:r>
                    <w:rPr>
                      <w:rFonts w:hint="eastAsia"/>
                    </w:rPr>
                    <w:t>核心价值观</w:t>
                  </w:r>
                </w:p>
                <w:p w:rsidR="007A2732" w:rsidRDefault="007A2732">
                  <w:r>
                    <w:rPr>
                      <w:rFonts w:hint="eastAsia"/>
                    </w:rPr>
                    <w:t>追求卓越</w:t>
                  </w:r>
                </w:p>
                <w:p w:rsidR="007A2732" w:rsidRDefault="007A2732">
                  <w:r>
                    <w:rPr>
                      <w:rFonts w:hint="eastAsia"/>
                    </w:rPr>
                    <w:t>诚信</w:t>
                  </w:r>
                  <w:r>
                    <w:rPr>
                      <w:rFonts w:hint="eastAsia"/>
                    </w:rPr>
                    <w:t xml:space="preserve"> </w:t>
                  </w:r>
                  <w:r>
                    <w:rPr>
                      <w:rFonts w:hint="eastAsia"/>
                    </w:rPr>
                    <w:t>绩效</w:t>
                  </w:r>
                  <w:r>
                    <w:rPr>
                      <w:rFonts w:hint="eastAsia"/>
                    </w:rPr>
                    <w:t xml:space="preserve"> </w:t>
                  </w:r>
                  <w:r>
                    <w:rPr>
                      <w:rFonts w:hint="eastAsia"/>
                    </w:rPr>
                    <w:t>责任</w:t>
                  </w:r>
                  <w:r>
                    <w:rPr>
                      <w:rFonts w:hint="eastAsia"/>
                    </w:rPr>
                    <w:t xml:space="preserve"> </w:t>
                  </w:r>
                  <w:r>
                    <w:rPr>
                      <w:rFonts w:hint="eastAsia"/>
                    </w:rPr>
                    <w:t>创新</w:t>
                  </w:r>
                  <w:r>
                    <w:rPr>
                      <w:rFonts w:hint="eastAsia"/>
                    </w:rPr>
                    <w:t xml:space="preserve"> </w:t>
                  </w:r>
                  <w:r>
                    <w:rPr>
                      <w:rFonts w:hint="eastAsia"/>
                    </w:rPr>
                    <w:t>和谐</w:t>
                  </w:r>
                </w:p>
              </w:txbxContent>
            </v:textbox>
          </v:shape>
        </w:pict>
      </w:r>
    </w:p>
    <w:p w:rsidR="007A2732" w:rsidRDefault="007A2732" w:rsidP="006C2DBE">
      <w:pPr>
        <w:spacing w:line="220" w:lineRule="atLeast"/>
        <w:ind w:firstLineChars="175" w:firstLine="420"/>
        <w:rPr>
          <w:rFonts w:ascii="黑体" w:eastAsia="黑体" w:hAnsi="黑体"/>
          <w:sz w:val="24"/>
          <w:szCs w:val="24"/>
        </w:rPr>
      </w:pPr>
    </w:p>
    <w:p w:rsidR="007A2732" w:rsidRDefault="007A2732" w:rsidP="006C2DBE">
      <w:pPr>
        <w:spacing w:line="220" w:lineRule="atLeast"/>
        <w:ind w:firstLineChars="175" w:firstLine="420"/>
        <w:rPr>
          <w:rFonts w:ascii="黑体" w:eastAsia="黑体" w:hAnsi="黑体"/>
          <w:sz w:val="24"/>
          <w:szCs w:val="24"/>
        </w:rPr>
      </w:pPr>
    </w:p>
    <w:p w:rsidR="007A2732" w:rsidRDefault="007A2732" w:rsidP="00837257">
      <w:pPr>
        <w:spacing w:line="220" w:lineRule="atLeast"/>
        <w:rPr>
          <w:rFonts w:ascii="黑体" w:eastAsia="黑体" w:hAnsi="黑体"/>
          <w:sz w:val="24"/>
          <w:szCs w:val="24"/>
        </w:rPr>
      </w:pPr>
    </w:p>
    <w:p w:rsidR="00837257" w:rsidRDefault="00837257" w:rsidP="00837257">
      <w:pPr>
        <w:spacing w:line="220" w:lineRule="atLeast"/>
        <w:rPr>
          <w:rFonts w:ascii="黑体" w:eastAsia="黑体" w:hAnsi="黑体"/>
          <w:sz w:val="24"/>
          <w:szCs w:val="24"/>
        </w:rPr>
      </w:pPr>
    </w:p>
    <w:p w:rsidR="006C2DBE" w:rsidRDefault="006C2DBE" w:rsidP="006C2DBE">
      <w:pPr>
        <w:spacing w:line="220" w:lineRule="atLeast"/>
        <w:ind w:firstLineChars="175" w:firstLine="420"/>
        <w:rPr>
          <w:rFonts w:ascii="黑体" w:eastAsia="黑体" w:hAnsi="黑体"/>
          <w:sz w:val="24"/>
          <w:szCs w:val="24"/>
        </w:rPr>
      </w:pPr>
      <w:r>
        <w:rPr>
          <w:rFonts w:ascii="黑体" w:eastAsia="黑体" w:hAnsi="黑体" w:hint="eastAsia"/>
          <w:sz w:val="24"/>
          <w:szCs w:val="24"/>
        </w:rPr>
        <w:t>目标：</w:t>
      </w:r>
    </w:p>
    <w:p w:rsidR="006C2DBE" w:rsidRDefault="006C2DBE" w:rsidP="006C2DBE">
      <w:pPr>
        <w:spacing w:line="220" w:lineRule="atLeast"/>
        <w:ind w:firstLineChars="400" w:firstLine="960"/>
        <w:rPr>
          <w:rFonts w:ascii="黑体" w:eastAsia="黑体" w:hAnsi="黑体"/>
          <w:sz w:val="24"/>
          <w:szCs w:val="24"/>
        </w:rPr>
      </w:pPr>
      <w:r>
        <w:rPr>
          <w:rFonts w:ascii="黑体" w:eastAsia="黑体" w:hAnsi="黑体" w:hint="eastAsia"/>
          <w:sz w:val="24"/>
          <w:szCs w:val="24"/>
        </w:rPr>
        <w:t>追求卓越，持续增长，建设国际一流的大型跨国银行。</w:t>
      </w:r>
    </w:p>
    <w:p w:rsidR="00BE0215" w:rsidRPr="00F07742" w:rsidRDefault="004574C6" w:rsidP="004574C6">
      <w:pPr>
        <w:pStyle w:val="a3"/>
        <w:numPr>
          <w:ilvl w:val="0"/>
          <w:numId w:val="2"/>
        </w:numPr>
        <w:spacing w:line="220" w:lineRule="atLeast"/>
        <w:ind w:firstLineChars="0"/>
        <w:rPr>
          <w:rFonts w:ascii="黑体" w:eastAsia="黑体" w:hAnsi="黑体"/>
          <w:b/>
          <w:sz w:val="24"/>
          <w:szCs w:val="24"/>
        </w:rPr>
      </w:pPr>
      <w:r w:rsidRPr="004574C6">
        <w:rPr>
          <w:rFonts w:ascii="黑体" w:eastAsia="黑体" w:hAnsi="黑体" w:hint="eastAsia"/>
          <w:b/>
          <w:sz w:val="28"/>
          <w:szCs w:val="28"/>
        </w:rPr>
        <w:t>中国银行各部门协调状况</w:t>
      </w:r>
    </w:p>
    <w:p w:rsidR="003D5924" w:rsidRDefault="003D5924" w:rsidP="003D5924">
      <w:pPr>
        <w:spacing w:line="220" w:lineRule="atLeast"/>
        <w:ind w:firstLineChars="200" w:firstLine="480"/>
        <w:rPr>
          <w:rFonts w:ascii="黑体" w:eastAsia="黑体" w:hAnsi="黑体"/>
          <w:sz w:val="24"/>
          <w:szCs w:val="24"/>
        </w:rPr>
      </w:pPr>
      <w:r>
        <w:rPr>
          <w:rFonts w:ascii="黑体" w:eastAsia="黑体" w:hAnsi="黑体" w:hint="eastAsia"/>
          <w:sz w:val="24"/>
          <w:szCs w:val="24"/>
        </w:rPr>
        <w:lastRenderedPageBreak/>
        <w:t>中行</w:t>
      </w:r>
      <w:r w:rsidRPr="003D5924">
        <w:rPr>
          <w:rFonts w:ascii="黑体" w:eastAsia="黑体" w:hAnsi="黑体" w:hint="eastAsia"/>
          <w:sz w:val="24"/>
          <w:szCs w:val="24"/>
        </w:rPr>
        <w:t>坚持和完善以职代会为基本形式的民主  管理制度，努力探索和实践多元民主参与方式，开展合理化建议征集  活动，倾听员工心声，职代会提案落实率 100%。</w:t>
      </w:r>
    </w:p>
    <w:p w:rsidR="00BE0215" w:rsidRPr="00BE0215" w:rsidRDefault="001A4487" w:rsidP="004574C6">
      <w:pPr>
        <w:spacing w:line="220" w:lineRule="atLeast"/>
        <w:rPr>
          <w:rFonts w:ascii="黑体" w:eastAsia="黑体" w:hAnsi="黑体"/>
          <w:sz w:val="24"/>
          <w:szCs w:val="24"/>
        </w:rPr>
      </w:pPr>
      <w:r>
        <w:rPr>
          <w:rFonts w:ascii="黑体" w:eastAsia="黑体" w:hAnsi="黑体"/>
          <w:noProof/>
          <w:sz w:val="24"/>
          <w:szCs w:val="24"/>
        </w:rPr>
        <w:pict>
          <v:shape id="_x0000_s1033" type="#_x0000_t202" style="position:absolute;margin-left:2.2pt;margin-top:.75pt;width:411pt;height:103.4pt;z-index:251669504;mso-height-percent:200;mso-height-percent:200;mso-width-relative:margin;mso-height-relative:margin" fillcolor="#dbe5f1 [660]">
            <v:textbox style="mso-fit-shape-to-text:t">
              <w:txbxContent>
                <w:p w:rsidR="00DE6F21" w:rsidRPr="00DE6F21" w:rsidRDefault="00DE6F21">
                  <w:pPr>
                    <w:rPr>
                      <w:b/>
                    </w:rPr>
                  </w:pPr>
                  <w:r w:rsidRPr="00DE6F21">
                    <w:rPr>
                      <w:rFonts w:hint="eastAsia"/>
                      <w:b/>
                    </w:rPr>
                    <w:t>案例</w:t>
                  </w:r>
                  <w:r w:rsidR="00F07742">
                    <w:rPr>
                      <w:rFonts w:hint="eastAsia"/>
                      <w:b/>
                    </w:rPr>
                    <w:t>1</w:t>
                  </w:r>
                  <w:r w:rsidRPr="00DE6F21">
                    <w:rPr>
                      <w:rFonts w:hint="eastAsia"/>
                      <w:b/>
                    </w:rPr>
                    <w:t>：注重海外员工培训</w:t>
                  </w:r>
                </w:p>
                <w:p w:rsidR="00DE6F21" w:rsidRDefault="00DE6F21" w:rsidP="00DE6F21">
                  <w:pPr>
                    <w:ind w:firstLineChars="200" w:firstLine="440"/>
                    <w:jc w:val="both"/>
                  </w:pPr>
                  <w:r w:rsidRPr="00DE6F21">
                    <w:rPr>
                      <w:rFonts w:hint="eastAsia"/>
                    </w:rPr>
                    <w:t xml:space="preserve">2015 </w:t>
                  </w:r>
                  <w:r w:rsidRPr="00DE6F21">
                    <w:rPr>
                      <w:rFonts w:hint="eastAsia"/>
                    </w:rPr>
                    <w:t>年，中行首次在伦敦举办海外当地优秀金融人才培训班；同时在上海</w:t>
                  </w:r>
                  <w:r w:rsidRPr="00DE6F21">
                    <w:rPr>
                      <w:rFonts w:hint="eastAsia"/>
                    </w:rPr>
                    <w:t xml:space="preserve">  </w:t>
                  </w:r>
                  <w:r w:rsidRPr="00DE6F21">
                    <w:rPr>
                      <w:rFonts w:hint="eastAsia"/>
                    </w:rPr>
                    <w:t>举办两期国情培训班，帮助海外机构当地员工进一步了解境内经济发展情况，</w:t>
                  </w:r>
                  <w:r w:rsidRPr="004E51E2">
                    <w:rPr>
                      <w:rFonts w:hint="eastAsia"/>
                    </w:rPr>
                    <w:t>深</w:t>
                  </w:r>
                  <w:r w:rsidRPr="004E51E2">
                    <w:rPr>
                      <w:rFonts w:hint="eastAsia"/>
                    </w:rPr>
                    <w:t xml:space="preserve">  </w:t>
                  </w:r>
                  <w:r w:rsidRPr="004E51E2">
                    <w:rPr>
                      <w:rFonts w:hint="eastAsia"/>
                    </w:rPr>
                    <w:t>入理解中行企业文化和集团发展战略，提高其认同度、忠诚度和归属感。</w:t>
                  </w:r>
                </w:p>
              </w:txbxContent>
            </v:textbox>
          </v:shape>
        </w:pict>
      </w:r>
    </w:p>
    <w:p w:rsidR="00BE0215" w:rsidRDefault="00BE0215" w:rsidP="004574C6">
      <w:pPr>
        <w:spacing w:line="220" w:lineRule="atLeast"/>
        <w:rPr>
          <w:rFonts w:ascii="黑体" w:eastAsia="黑体" w:hAnsi="黑体"/>
          <w:sz w:val="24"/>
          <w:szCs w:val="24"/>
        </w:rPr>
      </w:pPr>
    </w:p>
    <w:p w:rsidR="00BE0215" w:rsidRDefault="00BE0215" w:rsidP="004574C6">
      <w:pPr>
        <w:spacing w:line="220" w:lineRule="atLeast"/>
        <w:rPr>
          <w:rFonts w:ascii="黑体" w:eastAsia="黑体" w:hAnsi="黑体"/>
          <w:sz w:val="24"/>
          <w:szCs w:val="24"/>
        </w:rPr>
      </w:pPr>
    </w:p>
    <w:p w:rsidR="00BE0215" w:rsidRDefault="00BE0215" w:rsidP="00BE0215">
      <w:pPr>
        <w:tabs>
          <w:tab w:val="left" w:pos="1440"/>
        </w:tabs>
        <w:spacing w:line="220" w:lineRule="atLeast"/>
        <w:rPr>
          <w:rFonts w:ascii="黑体" w:eastAsia="黑体" w:hAnsi="黑体"/>
          <w:sz w:val="24"/>
          <w:szCs w:val="24"/>
        </w:rPr>
      </w:pPr>
      <w:r>
        <w:rPr>
          <w:rFonts w:ascii="黑体" w:eastAsia="黑体" w:hAnsi="黑体"/>
          <w:sz w:val="24"/>
          <w:szCs w:val="24"/>
        </w:rPr>
        <w:tab/>
      </w:r>
    </w:p>
    <w:p w:rsidR="00BE0215" w:rsidRDefault="00BE0215" w:rsidP="00BE0215">
      <w:pPr>
        <w:tabs>
          <w:tab w:val="left" w:pos="1440"/>
        </w:tabs>
        <w:spacing w:line="220" w:lineRule="atLeast"/>
        <w:rPr>
          <w:rFonts w:ascii="黑体" w:eastAsia="黑体" w:hAnsi="黑体"/>
          <w:sz w:val="24"/>
          <w:szCs w:val="24"/>
        </w:rPr>
      </w:pPr>
    </w:p>
    <w:p w:rsidR="00BE0215" w:rsidRDefault="00BE0215" w:rsidP="00BE0215">
      <w:pPr>
        <w:tabs>
          <w:tab w:val="left" w:pos="1440"/>
        </w:tabs>
        <w:spacing w:line="220" w:lineRule="atLeast"/>
        <w:rPr>
          <w:rFonts w:ascii="黑体" w:eastAsia="黑体" w:hAnsi="黑体"/>
          <w:sz w:val="24"/>
          <w:szCs w:val="24"/>
        </w:rPr>
      </w:pPr>
    </w:p>
    <w:p w:rsidR="00BE0215" w:rsidRDefault="001A4487" w:rsidP="00BE0215">
      <w:pPr>
        <w:tabs>
          <w:tab w:val="left" w:pos="1440"/>
        </w:tabs>
        <w:spacing w:line="220" w:lineRule="atLeast"/>
        <w:rPr>
          <w:rFonts w:ascii="黑体" w:eastAsia="黑体" w:hAnsi="黑体"/>
          <w:sz w:val="24"/>
          <w:szCs w:val="24"/>
        </w:rPr>
      </w:pPr>
      <w:r>
        <w:rPr>
          <w:rFonts w:ascii="黑体" w:eastAsia="黑体" w:hAnsi="黑体"/>
          <w:noProof/>
          <w:sz w:val="24"/>
          <w:szCs w:val="24"/>
        </w:rPr>
        <w:pict>
          <v:shape id="_x0000_s1032" type="#_x0000_t202" style="position:absolute;margin-left:3.2pt;margin-top:0;width:406.8pt;height:263.4pt;z-index:251667456;mso-width-relative:margin;mso-height-relative:margin" fillcolor="#dbe5f1 [660]">
            <v:textbox>
              <w:txbxContent>
                <w:p w:rsidR="0077256F" w:rsidRPr="0077256F" w:rsidRDefault="0077256F">
                  <w:pPr>
                    <w:rPr>
                      <w:b/>
                    </w:rPr>
                  </w:pPr>
                  <w:r w:rsidRPr="0077256F">
                    <w:rPr>
                      <w:rFonts w:hint="eastAsia"/>
                      <w:b/>
                    </w:rPr>
                    <w:t>案例</w:t>
                  </w:r>
                  <w:r w:rsidR="00F07742">
                    <w:rPr>
                      <w:rFonts w:hint="eastAsia"/>
                      <w:b/>
                    </w:rPr>
                    <w:t>2</w:t>
                  </w:r>
                  <w:r w:rsidRPr="0077256F">
                    <w:rPr>
                      <w:rFonts w:hint="eastAsia"/>
                      <w:b/>
                    </w:rPr>
                    <w:t>：分类培养</w:t>
                  </w:r>
                </w:p>
                <w:p w:rsidR="0077256F" w:rsidRDefault="0077256F" w:rsidP="00A2168E">
                  <w:pPr>
                    <w:ind w:firstLineChars="200" w:firstLine="440"/>
                  </w:pPr>
                  <w:r>
                    <w:rPr>
                      <w:rFonts w:hint="eastAsia"/>
                    </w:rPr>
                    <w:t>中行宁波分行建立分类培养机制，提高员工培训率和培养的针对性。</w:t>
                  </w:r>
                </w:p>
                <w:tbl>
                  <w:tblPr>
                    <w:tblStyle w:val="a9"/>
                    <w:tblW w:w="0" w:type="auto"/>
                    <w:tblLook w:val="04A0"/>
                  </w:tblPr>
                  <w:tblGrid>
                    <w:gridCol w:w="1951"/>
                    <w:gridCol w:w="5813"/>
                  </w:tblGrid>
                  <w:tr w:rsidR="0077256F" w:rsidTr="00A2168E">
                    <w:tc>
                      <w:tcPr>
                        <w:tcW w:w="1951" w:type="dxa"/>
                        <w:vAlign w:val="center"/>
                      </w:tcPr>
                      <w:p w:rsidR="0077256F" w:rsidRDefault="0077256F" w:rsidP="00A2168E">
                        <w:pPr>
                          <w:jc w:val="center"/>
                        </w:pPr>
                        <w:r>
                          <w:rPr>
                            <w:rFonts w:hint="eastAsia"/>
                          </w:rPr>
                          <w:t>经营管理人员</w:t>
                        </w:r>
                      </w:p>
                    </w:tc>
                    <w:tc>
                      <w:tcPr>
                        <w:tcW w:w="5813" w:type="dxa"/>
                      </w:tcPr>
                      <w:p w:rsidR="0077256F" w:rsidRDefault="0077256F">
                        <w:r w:rsidRPr="0077256F">
                          <w:rPr>
                            <w:rFonts w:hint="eastAsia"/>
                          </w:rPr>
                          <w:t>举办基层管理人员党校培训及中高管人员培训班，设置经</w:t>
                        </w:r>
                        <w:r w:rsidRPr="0077256F">
                          <w:rPr>
                            <w:rFonts w:hint="eastAsia"/>
                          </w:rPr>
                          <w:t xml:space="preserve">  </w:t>
                        </w:r>
                        <w:r w:rsidRPr="0077256F">
                          <w:rPr>
                            <w:rFonts w:hint="eastAsia"/>
                          </w:rPr>
                          <w:t>济金融热点问题相关课程</w:t>
                        </w:r>
                        <w:r>
                          <w:rPr>
                            <w:rFonts w:hint="eastAsia"/>
                          </w:rPr>
                          <w:t>。</w:t>
                        </w:r>
                      </w:p>
                    </w:tc>
                  </w:tr>
                  <w:tr w:rsidR="0077256F" w:rsidTr="00A2168E">
                    <w:tc>
                      <w:tcPr>
                        <w:tcW w:w="1951" w:type="dxa"/>
                        <w:vAlign w:val="center"/>
                      </w:tcPr>
                      <w:p w:rsidR="0077256F" w:rsidRDefault="0077256F" w:rsidP="00A2168E">
                        <w:pPr>
                          <w:jc w:val="center"/>
                        </w:pPr>
                        <w:r>
                          <w:rPr>
                            <w:rFonts w:hint="eastAsia"/>
                          </w:rPr>
                          <w:t>业务条线人员</w:t>
                        </w:r>
                      </w:p>
                    </w:tc>
                    <w:tc>
                      <w:tcPr>
                        <w:tcW w:w="5813" w:type="dxa"/>
                      </w:tcPr>
                      <w:p w:rsidR="0077256F" w:rsidRDefault="0077256F">
                        <w:r w:rsidRPr="0077256F">
                          <w:rPr>
                            <w:rFonts w:hint="eastAsia"/>
                          </w:rPr>
                          <w:t>积极开展各类行内任职资格及外部专业资质认证培训，提</w:t>
                        </w:r>
                        <w:r w:rsidRPr="0077256F">
                          <w:rPr>
                            <w:rFonts w:hint="eastAsia"/>
                          </w:rPr>
                          <w:t xml:space="preserve">  </w:t>
                        </w:r>
                        <w:r w:rsidRPr="0077256F">
                          <w:rPr>
                            <w:rFonts w:hint="eastAsia"/>
                          </w:rPr>
                          <w:t>升专业知识及技能的储备</w:t>
                        </w:r>
                      </w:p>
                    </w:tc>
                  </w:tr>
                  <w:tr w:rsidR="0077256F" w:rsidTr="00A2168E">
                    <w:tc>
                      <w:tcPr>
                        <w:tcW w:w="1951" w:type="dxa"/>
                        <w:vAlign w:val="center"/>
                      </w:tcPr>
                      <w:p w:rsidR="0077256F" w:rsidRDefault="0077256F" w:rsidP="00A2168E">
                        <w:pPr>
                          <w:jc w:val="center"/>
                        </w:pPr>
                        <w:r>
                          <w:rPr>
                            <w:rFonts w:hint="eastAsia"/>
                          </w:rPr>
                          <w:t>新入行大学生</w:t>
                        </w:r>
                      </w:p>
                    </w:tc>
                    <w:tc>
                      <w:tcPr>
                        <w:tcW w:w="5813" w:type="dxa"/>
                      </w:tcPr>
                      <w:p w:rsidR="0077256F" w:rsidRDefault="0077256F">
                        <w:r w:rsidRPr="0077256F">
                          <w:rPr>
                            <w:rFonts w:hint="eastAsia"/>
                          </w:rPr>
                          <w:t>分岗位开展入职培训，委托专业机构对营销服务类大学生</w:t>
                        </w:r>
                        <w:r w:rsidRPr="0077256F">
                          <w:rPr>
                            <w:rFonts w:hint="eastAsia"/>
                          </w:rPr>
                          <w:t xml:space="preserve">  </w:t>
                        </w:r>
                        <w:r w:rsidRPr="0077256F">
                          <w:rPr>
                            <w:rFonts w:hint="eastAsia"/>
                          </w:rPr>
                          <w:t>进行高潜质人才选拔项目，了解职业性格、评估能力潜质，</w:t>
                        </w:r>
                        <w:r w:rsidRPr="0077256F">
                          <w:rPr>
                            <w:rFonts w:hint="eastAsia"/>
                          </w:rPr>
                          <w:t xml:space="preserve">  </w:t>
                        </w:r>
                        <w:r w:rsidRPr="0077256F">
                          <w:rPr>
                            <w:rFonts w:hint="eastAsia"/>
                          </w:rPr>
                          <w:t>为后续培养提供依据；举办优秀员工成长经历分享活动</w:t>
                        </w:r>
                      </w:p>
                    </w:tc>
                  </w:tr>
                  <w:tr w:rsidR="0077256F" w:rsidTr="00A2168E">
                    <w:tc>
                      <w:tcPr>
                        <w:tcW w:w="1951" w:type="dxa"/>
                        <w:vAlign w:val="center"/>
                      </w:tcPr>
                      <w:p w:rsidR="0077256F" w:rsidRDefault="0077256F" w:rsidP="00A2168E">
                        <w:pPr>
                          <w:jc w:val="center"/>
                        </w:pPr>
                        <w:r>
                          <w:rPr>
                            <w:rFonts w:hint="eastAsia"/>
                          </w:rPr>
                          <w:t>投诉管理负责人</w:t>
                        </w:r>
                      </w:p>
                    </w:tc>
                    <w:tc>
                      <w:tcPr>
                        <w:tcW w:w="5813" w:type="dxa"/>
                      </w:tcPr>
                      <w:p w:rsidR="0077256F" w:rsidRDefault="0077256F">
                        <w:r w:rsidRPr="0077256F">
                          <w:rPr>
                            <w:rFonts w:hint="eastAsia"/>
                          </w:rPr>
                          <w:t>举办全辖投诉处理提升培训班，共有来自各网点投诉处理</w:t>
                        </w:r>
                        <w:r w:rsidRPr="0077256F">
                          <w:rPr>
                            <w:rFonts w:hint="eastAsia"/>
                          </w:rPr>
                          <w:t xml:space="preserve">  </w:t>
                        </w:r>
                        <w:r w:rsidRPr="0077256F">
                          <w:rPr>
                            <w:rFonts w:hint="eastAsia"/>
                          </w:rPr>
                          <w:t>负责人</w:t>
                        </w:r>
                        <w:r w:rsidRPr="0077256F">
                          <w:rPr>
                            <w:rFonts w:hint="eastAsia"/>
                          </w:rPr>
                          <w:t xml:space="preserve"> 163 </w:t>
                        </w:r>
                        <w:r w:rsidRPr="0077256F">
                          <w:rPr>
                            <w:rFonts w:hint="eastAsia"/>
                          </w:rPr>
                          <w:t>人参加</w:t>
                        </w:r>
                      </w:p>
                    </w:tc>
                  </w:tr>
                </w:tbl>
                <w:p w:rsidR="0077256F" w:rsidRDefault="0077256F"/>
              </w:txbxContent>
            </v:textbox>
          </v:shape>
        </w:pict>
      </w:r>
    </w:p>
    <w:p w:rsidR="00BE0215" w:rsidRDefault="00BE0215" w:rsidP="00BE0215">
      <w:pPr>
        <w:tabs>
          <w:tab w:val="left" w:pos="1440"/>
        </w:tabs>
        <w:spacing w:line="220" w:lineRule="atLeast"/>
        <w:rPr>
          <w:rFonts w:ascii="黑体" w:eastAsia="黑体" w:hAnsi="黑体"/>
          <w:sz w:val="24"/>
          <w:szCs w:val="24"/>
        </w:rPr>
      </w:pPr>
    </w:p>
    <w:p w:rsidR="00BE0215" w:rsidRDefault="00BE0215" w:rsidP="00BE0215">
      <w:pPr>
        <w:tabs>
          <w:tab w:val="left" w:pos="1440"/>
        </w:tabs>
        <w:spacing w:line="220" w:lineRule="atLeast"/>
        <w:rPr>
          <w:rFonts w:ascii="黑体" w:eastAsia="黑体" w:hAnsi="黑体"/>
          <w:sz w:val="24"/>
          <w:szCs w:val="24"/>
        </w:rPr>
      </w:pPr>
    </w:p>
    <w:p w:rsidR="00BE0215" w:rsidRDefault="00BE0215" w:rsidP="00BE0215">
      <w:pPr>
        <w:tabs>
          <w:tab w:val="left" w:pos="1440"/>
        </w:tabs>
        <w:spacing w:line="220" w:lineRule="atLeast"/>
        <w:rPr>
          <w:rFonts w:ascii="黑体" w:eastAsia="黑体" w:hAnsi="黑体"/>
          <w:sz w:val="24"/>
          <w:szCs w:val="24"/>
        </w:rPr>
      </w:pPr>
    </w:p>
    <w:p w:rsidR="00BE0215" w:rsidRDefault="00BE0215" w:rsidP="00BE0215">
      <w:pPr>
        <w:tabs>
          <w:tab w:val="left" w:pos="1440"/>
        </w:tabs>
        <w:spacing w:line="220" w:lineRule="atLeast"/>
        <w:rPr>
          <w:rFonts w:ascii="黑体" w:eastAsia="黑体" w:hAnsi="黑体"/>
          <w:sz w:val="24"/>
          <w:szCs w:val="24"/>
        </w:rPr>
      </w:pPr>
    </w:p>
    <w:p w:rsidR="00BE0215" w:rsidRDefault="00BE0215" w:rsidP="00BE0215">
      <w:pPr>
        <w:tabs>
          <w:tab w:val="left" w:pos="1440"/>
        </w:tabs>
        <w:spacing w:line="220" w:lineRule="atLeast"/>
        <w:rPr>
          <w:rFonts w:ascii="黑体" w:eastAsia="黑体" w:hAnsi="黑体"/>
          <w:sz w:val="24"/>
          <w:szCs w:val="24"/>
        </w:rPr>
      </w:pPr>
    </w:p>
    <w:p w:rsidR="0077256F" w:rsidRDefault="0077256F" w:rsidP="004574C6">
      <w:pPr>
        <w:spacing w:line="220" w:lineRule="atLeast"/>
        <w:rPr>
          <w:rFonts w:ascii="黑体" w:eastAsia="黑体" w:hAnsi="黑体"/>
          <w:sz w:val="24"/>
          <w:szCs w:val="24"/>
        </w:rPr>
      </w:pPr>
    </w:p>
    <w:p w:rsidR="0077256F" w:rsidRDefault="0077256F" w:rsidP="004574C6">
      <w:pPr>
        <w:spacing w:line="220" w:lineRule="atLeast"/>
        <w:rPr>
          <w:rFonts w:ascii="黑体" w:eastAsia="黑体" w:hAnsi="黑体"/>
          <w:sz w:val="24"/>
          <w:szCs w:val="24"/>
        </w:rPr>
      </w:pPr>
    </w:p>
    <w:p w:rsidR="0077256F" w:rsidRDefault="0077256F" w:rsidP="004574C6">
      <w:pPr>
        <w:spacing w:line="220" w:lineRule="atLeast"/>
        <w:rPr>
          <w:rFonts w:ascii="黑体" w:eastAsia="黑体" w:hAnsi="黑体"/>
          <w:sz w:val="24"/>
          <w:szCs w:val="24"/>
        </w:rPr>
      </w:pPr>
    </w:p>
    <w:p w:rsidR="0077256F" w:rsidRDefault="0077256F" w:rsidP="004574C6">
      <w:pPr>
        <w:spacing w:line="220" w:lineRule="atLeast"/>
        <w:rPr>
          <w:rFonts w:ascii="黑体" w:eastAsia="黑体" w:hAnsi="黑体"/>
          <w:sz w:val="24"/>
          <w:szCs w:val="24"/>
        </w:rPr>
      </w:pPr>
    </w:p>
    <w:p w:rsidR="0077256F" w:rsidRDefault="001A4487" w:rsidP="004574C6">
      <w:pPr>
        <w:spacing w:line="220" w:lineRule="atLeast"/>
        <w:rPr>
          <w:rFonts w:ascii="黑体" w:eastAsia="黑体" w:hAnsi="黑体"/>
          <w:sz w:val="24"/>
          <w:szCs w:val="24"/>
        </w:rPr>
      </w:pPr>
      <w:r>
        <w:rPr>
          <w:rFonts w:ascii="黑体" w:eastAsia="黑体" w:hAnsi="黑体"/>
          <w:noProof/>
          <w:sz w:val="24"/>
          <w:szCs w:val="24"/>
        </w:rPr>
        <w:pict>
          <v:shape id="_x0000_s1031" type="#_x0000_t202" style="position:absolute;margin-left:2.8pt;margin-top:15pt;width:406.8pt;height:122.3pt;z-index:251665408;mso-height-percent:200;mso-height-percent:200;mso-width-relative:margin;mso-height-relative:margin" fillcolor="#dbe5f1 [660]">
            <v:textbox style="mso-fit-shape-to-text:t">
              <w:txbxContent>
                <w:p w:rsidR="00BE0215" w:rsidRPr="00A2168E" w:rsidRDefault="00BE0215">
                  <w:pPr>
                    <w:rPr>
                      <w:b/>
                    </w:rPr>
                  </w:pPr>
                  <w:r w:rsidRPr="00A2168E">
                    <w:rPr>
                      <w:rFonts w:hint="eastAsia"/>
                      <w:b/>
                    </w:rPr>
                    <w:t>案例</w:t>
                  </w:r>
                  <w:r w:rsidR="00F07742">
                    <w:rPr>
                      <w:rFonts w:hint="eastAsia"/>
                      <w:b/>
                    </w:rPr>
                    <w:t>3</w:t>
                  </w:r>
                  <w:r w:rsidRPr="00A2168E">
                    <w:rPr>
                      <w:rFonts w:hint="eastAsia"/>
                      <w:b/>
                    </w:rPr>
                    <w:t>：</w:t>
                  </w:r>
                  <w:r w:rsidR="0077256F" w:rsidRPr="00A2168E">
                    <w:rPr>
                      <w:rFonts w:hint="eastAsia"/>
                      <w:b/>
                    </w:rPr>
                    <w:t>鼓励干部到基层“干事创业”</w:t>
                  </w:r>
                </w:p>
                <w:p w:rsidR="00BE0215" w:rsidRDefault="00BE0215" w:rsidP="0077256F">
                  <w:pPr>
                    <w:ind w:firstLineChars="200" w:firstLine="440"/>
                    <w:jc w:val="both"/>
                  </w:pPr>
                  <w:r>
                    <w:rPr>
                      <w:rFonts w:hint="eastAsia"/>
                    </w:rPr>
                    <w:t>2015</w:t>
                  </w:r>
                  <w:r>
                    <w:rPr>
                      <w:rFonts w:hint="eastAsia"/>
                    </w:rPr>
                    <w:t>年，</w:t>
                  </w:r>
                  <w:r w:rsidR="0077256F">
                    <w:rPr>
                      <w:rFonts w:hint="eastAsia"/>
                    </w:rPr>
                    <w:t>中行继续加强人事费用、人员、职位、培训等资源向基层的倾斜，制订相关政策措施，引导、鼓励总行优秀员工到基层和艰苦地区锻炼成长。</w:t>
                  </w:r>
                  <w:r w:rsidR="0077256F">
                    <w:rPr>
                      <w:rFonts w:hint="eastAsia"/>
                    </w:rPr>
                    <w:t>2015</w:t>
                  </w:r>
                  <w:r w:rsidR="0077256F">
                    <w:rPr>
                      <w:rFonts w:hint="eastAsia"/>
                    </w:rPr>
                    <w:t>年累计选派</w:t>
                  </w:r>
                  <w:r w:rsidR="0077256F">
                    <w:rPr>
                      <w:rFonts w:hint="eastAsia"/>
                    </w:rPr>
                    <w:t>81</w:t>
                  </w:r>
                  <w:r w:rsidR="0077256F">
                    <w:rPr>
                      <w:rFonts w:hint="eastAsia"/>
                    </w:rPr>
                    <w:t>名员工赴西藏、甘肃、贵州、北京、上海、广州、天津、重庆等</w:t>
                  </w:r>
                  <w:r w:rsidR="0077256F">
                    <w:rPr>
                      <w:rFonts w:hint="eastAsia"/>
                    </w:rPr>
                    <w:t>20</w:t>
                  </w:r>
                  <w:r w:rsidR="0077256F">
                    <w:rPr>
                      <w:rFonts w:hint="eastAsia"/>
                    </w:rPr>
                    <w:t>家分行交流工作，作为</w:t>
                  </w:r>
                  <w:r w:rsidR="0077256F">
                    <w:rPr>
                      <w:rFonts w:hint="eastAsia"/>
                    </w:rPr>
                    <w:t>2014</w:t>
                  </w:r>
                  <w:r w:rsidR="0077256F">
                    <w:rPr>
                      <w:rFonts w:hint="eastAsia"/>
                    </w:rPr>
                    <w:t>年的</w:t>
                  </w:r>
                  <w:r w:rsidR="0077256F">
                    <w:rPr>
                      <w:rFonts w:hint="eastAsia"/>
                    </w:rPr>
                    <w:t>2.5</w:t>
                  </w:r>
                  <w:r w:rsidR="0077256F">
                    <w:rPr>
                      <w:rFonts w:hint="eastAsia"/>
                    </w:rPr>
                    <w:t>倍。</w:t>
                  </w:r>
                </w:p>
              </w:txbxContent>
            </v:textbox>
          </v:shape>
        </w:pict>
      </w:r>
    </w:p>
    <w:p w:rsidR="00DE6F21" w:rsidRDefault="00DE6F21" w:rsidP="004574C6">
      <w:pPr>
        <w:spacing w:line="220" w:lineRule="atLeast"/>
        <w:rPr>
          <w:rFonts w:ascii="黑体" w:eastAsia="黑体" w:hAnsi="黑体"/>
          <w:sz w:val="24"/>
          <w:szCs w:val="24"/>
        </w:rPr>
      </w:pPr>
    </w:p>
    <w:p w:rsidR="00DE6F21" w:rsidRDefault="00DE6F21" w:rsidP="004574C6">
      <w:pPr>
        <w:spacing w:line="220" w:lineRule="atLeast"/>
        <w:rPr>
          <w:rFonts w:ascii="黑体" w:eastAsia="黑体" w:hAnsi="黑体"/>
          <w:sz w:val="24"/>
          <w:szCs w:val="24"/>
        </w:rPr>
      </w:pPr>
    </w:p>
    <w:p w:rsidR="00DE6F21" w:rsidRDefault="00DE6F21" w:rsidP="004574C6">
      <w:pPr>
        <w:spacing w:line="220" w:lineRule="atLeast"/>
        <w:rPr>
          <w:rFonts w:ascii="黑体" w:eastAsia="黑体" w:hAnsi="黑体"/>
          <w:sz w:val="24"/>
          <w:szCs w:val="24"/>
        </w:rPr>
      </w:pPr>
    </w:p>
    <w:p w:rsidR="00DE6F21" w:rsidRDefault="00DE6F21" w:rsidP="004574C6">
      <w:pPr>
        <w:spacing w:line="220" w:lineRule="atLeast"/>
        <w:rPr>
          <w:rFonts w:ascii="黑体" w:eastAsia="黑体" w:hAnsi="黑体"/>
          <w:sz w:val="24"/>
          <w:szCs w:val="24"/>
        </w:rPr>
      </w:pPr>
    </w:p>
    <w:p w:rsidR="00DE6F21" w:rsidRDefault="00DE6F21" w:rsidP="004574C6">
      <w:pPr>
        <w:spacing w:line="220" w:lineRule="atLeast"/>
        <w:rPr>
          <w:rFonts w:ascii="黑体" w:eastAsia="黑体" w:hAnsi="黑体"/>
          <w:sz w:val="24"/>
          <w:szCs w:val="24"/>
        </w:rPr>
      </w:pPr>
    </w:p>
    <w:p w:rsidR="00DE50F6" w:rsidRDefault="00DE50F6" w:rsidP="0013082B">
      <w:pPr>
        <w:spacing w:line="220" w:lineRule="atLeast"/>
        <w:ind w:firstLineChars="200" w:firstLine="480"/>
        <w:rPr>
          <w:rFonts w:ascii="黑体" w:eastAsia="黑体" w:hAnsi="黑体"/>
          <w:sz w:val="24"/>
          <w:szCs w:val="24"/>
        </w:rPr>
      </w:pPr>
      <w:r>
        <w:rPr>
          <w:rFonts w:ascii="黑体" w:eastAsia="黑体" w:hAnsi="黑体" w:hint="eastAsia"/>
          <w:sz w:val="24"/>
          <w:szCs w:val="24"/>
        </w:rPr>
        <w:t>由此可以看出中行一直积极提高内部环境</w:t>
      </w:r>
      <w:r w:rsidR="001E3AF8">
        <w:rPr>
          <w:rFonts w:ascii="黑体" w:eastAsia="黑体" w:hAnsi="黑体" w:hint="eastAsia"/>
          <w:sz w:val="24"/>
          <w:szCs w:val="24"/>
        </w:rPr>
        <w:t>协调</w:t>
      </w:r>
      <w:r>
        <w:rPr>
          <w:rFonts w:ascii="黑体" w:eastAsia="黑体" w:hAnsi="黑体" w:hint="eastAsia"/>
          <w:sz w:val="24"/>
          <w:szCs w:val="24"/>
        </w:rPr>
        <w:t>，</w:t>
      </w:r>
      <w:r w:rsidR="00F07742">
        <w:rPr>
          <w:rFonts w:ascii="黑体" w:eastAsia="黑体" w:hAnsi="黑体" w:hint="eastAsia"/>
          <w:sz w:val="24"/>
          <w:szCs w:val="24"/>
        </w:rPr>
        <w:t>促进干部和员工交流</w:t>
      </w:r>
      <w:r w:rsidR="001E3AF8">
        <w:rPr>
          <w:rFonts w:ascii="黑体" w:eastAsia="黑体" w:hAnsi="黑体" w:hint="eastAsia"/>
          <w:sz w:val="24"/>
          <w:szCs w:val="24"/>
        </w:rPr>
        <w:t>，协调工作的能力</w:t>
      </w:r>
      <w:r w:rsidR="00F07742">
        <w:rPr>
          <w:rFonts w:ascii="黑体" w:eastAsia="黑体" w:hAnsi="黑体" w:hint="eastAsia"/>
          <w:sz w:val="24"/>
          <w:szCs w:val="24"/>
        </w:rPr>
        <w:t>较强</w:t>
      </w:r>
      <w:r>
        <w:rPr>
          <w:rFonts w:ascii="黑体" w:eastAsia="黑体" w:hAnsi="黑体" w:hint="eastAsia"/>
          <w:sz w:val="24"/>
          <w:szCs w:val="24"/>
        </w:rPr>
        <w:t>，有利于营销活动的开展</w:t>
      </w:r>
      <w:r w:rsidR="0013082B">
        <w:rPr>
          <w:rFonts w:ascii="黑体" w:eastAsia="黑体" w:hAnsi="黑体" w:hint="eastAsia"/>
          <w:sz w:val="24"/>
          <w:szCs w:val="24"/>
        </w:rPr>
        <w:t>。</w:t>
      </w:r>
    </w:p>
    <w:p w:rsidR="00130AD6" w:rsidRDefault="00130AD6" w:rsidP="004574C6">
      <w:pPr>
        <w:spacing w:line="220" w:lineRule="atLeast"/>
        <w:rPr>
          <w:rFonts w:ascii="黑体" w:eastAsia="黑体" w:hAnsi="黑体"/>
          <w:sz w:val="24"/>
          <w:szCs w:val="24"/>
        </w:rPr>
      </w:pPr>
    </w:p>
    <w:p w:rsidR="00130AD6" w:rsidRPr="00130AD6" w:rsidRDefault="00130AD6" w:rsidP="00130AD6">
      <w:pPr>
        <w:pStyle w:val="a3"/>
        <w:numPr>
          <w:ilvl w:val="0"/>
          <w:numId w:val="2"/>
        </w:numPr>
        <w:spacing w:line="220" w:lineRule="atLeast"/>
        <w:ind w:firstLineChars="0"/>
        <w:rPr>
          <w:rFonts w:ascii="黑体" w:eastAsia="黑体" w:hAnsi="黑体"/>
          <w:b/>
          <w:sz w:val="28"/>
          <w:szCs w:val="28"/>
        </w:rPr>
      </w:pPr>
      <w:r w:rsidRPr="00130AD6">
        <w:rPr>
          <w:rFonts w:ascii="黑体" w:eastAsia="黑体" w:hAnsi="黑体" w:hint="eastAsia"/>
          <w:b/>
          <w:sz w:val="28"/>
          <w:szCs w:val="28"/>
        </w:rPr>
        <w:lastRenderedPageBreak/>
        <w:t>供应者与营销中介</w:t>
      </w:r>
    </w:p>
    <w:p w:rsidR="00130AD6" w:rsidRPr="00841724" w:rsidRDefault="00130AD6" w:rsidP="00130AD6">
      <w:pPr>
        <w:spacing w:line="220" w:lineRule="atLeast"/>
        <w:rPr>
          <w:rFonts w:ascii="黑体" w:eastAsia="黑体" w:hAnsi="黑体"/>
          <w:b/>
          <w:sz w:val="24"/>
          <w:szCs w:val="24"/>
        </w:rPr>
      </w:pPr>
      <w:r w:rsidRPr="00841724">
        <w:rPr>
          <w:rFonts w:ascii="黑体" w:eastAsia="黑体" w:hAnsi="黑体" w:hint="eastAsia"/>
          <w:b/>
          <w:sz w:val="24"/>
          <w:szCs w:val="24"/>
        </w:rPr>
        <w:t>（一）、供应者</w:t>
      </w:r>
    </w:p>
    <w:p w:rsidR="00130AD6" w:rsidRDefault="00841724" w:rsidP="00130AD6">
      <w:pPr>
        <w:spacing w:line="220" w:lineRule="atLeast"/>
        <w:ind w:firstLineChars="200" w:firstLine="480"/>
        <w:rPr>
          <w:rFonts w:ascii="黑体" w:eastAsia="黑体" w:hAnsi="黑体"/>
          <w:sz w:val="24"/>
          <w:szCs w:val="24"/>
        </w:rPr>
      </w:pPr>
      <w:r>
        <w:rPr>
          <w:rFonts w:ascii="黑体" w:eastAsia="黑体" w:hAnsi="黑体" w:hint="eastAsia"/>
          <w:sz w:val="24"/>
          <w:szCs w:val="24"/>
        </w:rPr>
        <w:t>银行的供应者主要是材料供应者（如：单据、打印纸张等）、银行卡机具供应者（如POS、ATM、验钞机等）、技术供应者等。</w:t>
      </w:r>
    </w:p>
    <w:p w:rsidR="00841724" w:rsidRDefault="00841724" w:rsidP="00130AD6">
      <w:pPr>
        <w:spacing w:line="220" w:lineRule="atLeast"/>
        <w:ind w:firstLineChars="200" w:firstLine="480"/>
        <w:rPr>
          <w:rFonts w:ascii="黑体" w:eastAsia="黑体" w:hAnsi="黑体"/>
          <w:sz w:val="24"/>
          <w:szCs w:val="24"/>
        </w:rPr>
      </w:pPr>
      <w:r>
        <w:rPr>
          <w:rFonts w:ascii="黑体" w:eastAsia="黑体" w:hAnsi="黑体" w:hint="eastAsia"/>
          <w:sz w:val="24"/>
          <w:szCs w:val="24"/>
        </w:rPr>
        <w:t>供应者对银行的影响主要表现在价格变动的影响和货源的充足和质量上的影响。因此需要和主要供应者</w:t>
      </w:r>
      <w:r w:rsidR="00810D23">
        <w:rPr>
          <w:rFonts w:ascii="黑体" w:eastAsia="黑体" w:hAnsi="黑体" w:hint="eastAsia"/>
          <w:sz w:val="24"/>
          <w:szCs w:val="24"/>
        </w:rPr>
        <w:t>保持长期而</w:t>
      </w:r>
      <w:r>
        <w:rPr>
          <w:rFonts w:ascii="黑体" w:eastAsia="黑体" w:hAnsi="黑体" w:hint="eastAsia"/>
          <w:sz w:val="24"/>
          <w:szCs w:val="24"/>
        </w:rPr>
        <w:t>稳定</w:t>
      </w:r>
      <w:r w:rsidR="00810D23">
        <w:rPr>
          <w:rFonts w:ascii="黑体" w:eastAsia="黑体" w:hAnsi="黑体" w:hint="eastAsia"/>
          <w:sz w:val="24"/>
          <w:szCs w:val="24"/>
        </w:rPr>
        <w:t>的合作</w:t>
      </w:r>
      <w:r>
        <w:rPr>
          <w:rFonts w:ascii="黑体" w:eastAsia="黑体" w:hAnsi="黑体" w:hint="eastAsia"/>
          <w:sz w:val="24"/>
          <w:szCs w:val="24"/>
        </w:rPr>
        <w:t>关系</w:t>
      </w:r>
      <w:r w:rsidR="00810D23">
        <w:rPr>
          <w:rFonts w:ascii="黑体" w:eastAsia="黑体" w:hAnsi="黑体" w:hint="eastAsia"/>
          <w:sz w:val="24"/>
          <w:szCs w:val="24"/>
        </w:rPr>
        <w:t>，另一方面也需要建立广泛的购货渠道，避免因过分依赖而造成被动局面。</w:t>
      </w:r>
    </w:p>
    <w:p w:rsidR="00810D23" w:rsidRDefault="00810D23" w:rsidP="00810D23">
      <w:pPr>
        <w:spacing w:line="220" w:lineRule="atLeast"/>
        <w:rPr>
          <w:rFonts w:ascii="黑体" w:eastAsia="黑体" w:hAnsi="黑体"/>
          <w:b/>
          <w:sz w:val="24"/>
          <w:szCs w:val="24"/>
        </w:rPr>
      </w:pPr>
      <w:r>
        <w:rPr>
          <w:rFonts w:ascii="黑体" w:eastAsia="黑体" w:hAnsi="黑体" w:hint="eastAsia"/>
          <w:b/>
          <w:sz w:val="24"/>
          <w:szCs w:val="24"/>
        </w:rPr>
        <w:t>（二）、营销中介</w:t>
      </w:r>
    </w:p>
    <w:p w:rsidR="00810D23" w:rsidRDefault="008455BB" w:rsidP="00810D23">
      <w:pPr>
        <w:spacing w:line="220" w:lineRule="atLeast"/>
        <w:ind w:firstLineChars="200" w:firstLine="480"/>
        <w:rPr>
          <w:rFonts w:ascii="黑体" w:eastAsia="黑体" w:hAnsi="黑体"/>
          <w:sz w:val="24"/>
          <w:szCs w:val="24"/>
        </w:rPr>
      </w:pPr>
      <w:r>
        <w:rPr>
          <w:rFonts w:ascii="黑体" w:eastAsia="黑体" w:hAnsi="黑体" w:hint="eastAsia"/>
          <w:sz w:val="24"/>
          <w:szCs w:val="24"/>
        </w:rPr>
        <w:t>中国银行所经营的业务有公司金融业务、个人金融业务、存贷款业务、资金业务、金融市场业务、金融机构业务等，各个业务的推广和销售都需要各种中介人员或机构的协助。</w:t>
      </w:r>
      <w:r w:rsidR="00D54789">
        <w:rPr>
          <w:rFonts w:ascii="黑体" w:eastAsia="黑体" w:hAnsi="黑体" w:hint="eastAsia"/>
          <w:sz w:val="24"/>
          <w:szCs w:val="24"/>
        </w:rPr>
        <w:t>中国银行对产品业务经理的要求相对较高，但相对的薪资报酬也较高，与其下属机构中银国际、中银保险、中银投资等公司都实行相对</w:t>
      </w:r>
      <w:r w:rsidR="00557321">
        <w:rPr>
          <w:rFonts w:ascii="黑体" w:eastAsia="黑体" w:hAnsi="黑体" w:hint="eastAsia"/>
          <w:sz w:val="24"/>
          <w:szCs w:val="24"/>
        </w:rPr>
        <w:t>人性化的制度，与证券经纪人、外汇经纪商、保险代理人等建立着良好的合作关系。</w:t>
      </w:r>
      <w:r w:rsidR="0015718A">
        <w:rPr>
          <w:rFonts w:ascii="黑体" w:eastAsia="黑体" w:hAnsi="黑体" w:hint="eastAsia"/>
          <w:sz w:val="24"/>
          <w:szCs w:val="24"/>
        </w:rPr>
        <w:t>以下为中国银行投资分析师资料：</w:t>
      </w:r>
      <w:r w:rsidR="00837257">
        <w:rPr>
          <w:rFonts w:ascii="黑体" w:eastAsia="黑体" w:hAnsi="黑体"/>
          <w:noProof/>
          <w:sz w:val="24"/>
          <w:szCs w:val="24"/>
        </w:rPr>
        <w:drawing>
          <wp:inline distT="0" distB="0" distL="0" distR="0">
            <wp:extent cx="4972050" cy="4540551"/>
            <wp:effectExtent l="19050" t="0" r="0" b="0"/>
            <wp:docPr id="8" name="图片 2" descr="QQ图片201604091925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60409192506.png"/>
                    <pic:cNvPicPr/>
                  </pic:nvPicPr>
                  <pic:blipFill>
                    <a:blip r:embed="rId8" cstate="print"/>
                    <a:stretch>
                      <a:fillRect/>
                    </a:stretch>
                  </pic:blipFill>
                  <pic:spPr>
                    <a:xfrm>
                      <a:off x="0" y="0"/>
                      <a:ext cx="4972050" cy="4540551"/>
                    </a:xfrm>
                    <a:prstGeom prst="rect">
                      <a:avLst/>
                    </a:prstGeom>
                  </pic:spPr>
                </pic:pic>
              </a:graphicData>
            </a:graphic>
          </wp:inline>
        </w:drawing>
      </w:r>
    </w:p>
    <w:p w:rsidR="001E3AF8" w:rsidRDefault="003E0BCB" w:rsidP="00837257">
      <w:pPr>
        <w:spacing w:line="220" w:lineRule="atLeast"/>
        <w:rPr>
          <w:rFonts w:ascii="黑体" w:eastAsia="黑体" w:hAnsi="黑体"/>
          <w:sz w:val="24"/>
          <w:szCs w:val="24"/>
        </w:rPr>
      </w:pPr>
      <w:r>
        <w:rPr>
          <w:rFonts w:ascii="黑体" w:eastAsia="黑体" w:hAnsi="黑体"/>
          <w:noProof/>
          <w:sz w:val="24"/>
          <w:szCs w:val="24"/>
        </w:rPr>
        <w:lastRenderedPageBreak/>
        <w:drawing>
          <wp:inline distT="0" distB="0" distL="0" distR="0">
            <wp:extent cx="4438650" cy="6245380"/>
            <wp:effectExtent l="19050" t="0" r="0" b="0"/>
            <wp:docPr id="4" name="图片 1" descr="QQ图片201604091924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60409192444.png"/>
                    <pic:cNvPicPr/>
                  </pic:nvPicPr>
                  <pic:blipFill>
                    <a:blip r:embed="rId9" cstate="print"/>
                    <a:stretch>
                      <a:fillRect/>
                    </a:stretch>
                  </pic:blipFill>
                  <pic:spPr>
                    <a:xfrm>
                      <a:off x="0" y="0"/>
                      <a:ext cx="4442997" cy="6251497"/>
                    </a:xfrm>
                    <a:prstGeom prst="rect">
                      <a:avLst/>
                    </a:prstGeom>
                  </pic:spPr>
                </pic:pic>
              </a:graphicData>
            </a:graphic>
          </wp:inline>
        </w:drawing>
      </w:r>
    </w:p>
    <w:p w:rsidR="001E3AF8" w:rsidRDefault="001E3AF8" w:rsidP="00837257">
      <w:pPr>
        <w:spacing w:line="220" w:lineRule="atLeast"/>
        <w:rPr>
          <w:rFonts w:ascii="黑体" w:eastAsia="黑体" w:hAnsi="黑体"/>
          <w:sz w:val="24"/>
          <w:szCs w:val="24"/>
        </w:rPr>
      </w:pPr>
    </w:p>
    <w:p w:rsidR="00460E17" w:rsidRDefault="00460E17" w:rsidP="00460E17">
      <w:pPr>
        <w:spacing w:line="220" w:lineRule="atLeast"/>
        <w:ind w:firstLineChars="200" w:firstLine="480"/>
        <w:rPr>
          <w:rFonts w:ascii="黑体" w:eastAsia="黑体" w:hAnsi="黑体"/>
          <w:sz w:val="24"/>
          <w:szCs w:val="24"/>
        </w:rPr>
      </w:pPr>
      <w:r>
        <w:rPr>
          <w:rFonts w:ascii="黑体" w:eastAsia="黑体" w:hAnsi="黑体" w:hint="eastAsia"/>
          <w:sz w:val="24"/>
          <w:szCs w:val="24"/>
        </w:rPr>
        <w:t>中国银行</w:t>
      </w:r>
      <w:r w:rsidRPr="007A2732">
        <w:rPr>
          <w:rFonts w:ascii="黑体" w:eastAsia="黑体" w:hAnsi="黑体" w:hint="eastAsia"/>
          <w:sz w:val="24"/>
          <w:szCs w:val="24"/>
        </w:rPr>
        <w:t>高度重视与投资者的沟通，持续拓展信息沟通渠道，扎实稳步推进信息披露工作。</w:t>
      </w:r>
      <w:r>
        <w:rPr>
          <w:rFonts w:ascii="黑体" w:eastAsia="黑体" w:hAnsi="黑体" w:hint="eastAsia"/>
          <w:sz w:val="24"/>
          <w:szCs w:val="24"/>
        </w:rPr>
        <w:t>近年来</w:t>
      </w:r>
      <w:r w:rsidRPr="007A2732">
        <w:rPr>
          <w:rFonts w:ascii="黑体" w:eastAsia="黑体" w:hAnsi="黑体" w:hint="eastAsia"/>
          <w:sz w:val="24"/>
          <w:szCs w:val="24"/>
        </w:rPr>
        <w:t>与来自国内外的机构投资者及分析师召开各种形式的会见、会谈约</w:t>
      </w:r>
      <w:r>
        <w:rPr>
          <w:rFonts w:ascii="黑体" w:eastAsia="黑体" w:hAnsi="黑体"/>
          <w:sz w:val="24"/>
          <w:szCs w:val="24"/>
        </w:rPr>
        <w:t>200</w:t>
      </w:r>
      <w:r w:rsidRPr="007A2732">
        <w:rPr>
          <w:rFonts w:ascii="黑体" w:eastAsia="黑体" w:hAnsi="黑体" w:hint="eastAsia"/>
          <w:sz w:val="24"/>
          <w:szCs w:val="24"/>
        </w:rPr>
        <w:t>场。积极通过投资者热线、电邮、</w:t>
      </w:r>
      <w:r w:rsidRPr="007A2732">
        <w:rPr>
          <w:rFonts w:ascii="宋体" w:eastAsia="宋体" w:hAnsi="宋体" w:cs="宋体" w:hint="eastAsia"/>
          <w:sz w:val="24"/>
          <w:szCs w:val="24"/>
        </w:rPr>
        <w:t>‚</w:t>
      </w:r>
      <w:r w:rsidRPr="007A2732">
        <w:rPr>
          <w:rFonts w:ascii="黑体" w:eastAsia="黑体" w:hAnsi="黑体" w:cs="黑体" w:hint="eastAsia"/>
          <w:sz w:val="24"/>
          <w:szCs w:val="24"/>
        </w:rPr>
        <w:t>上</w:t>
      </w:r>
      <w:r w:rsidRPr="007A2732">
        <w:rPr>
          <w:rFonts w:ascii="黑体" w:eastAsia="黑体" w:hAnsi="黑体" w:hint="eastAsia"/>
          <w:sz w:val="24"/>
          <w:szCs w:val="24"/>
        </w:rPr>
        <w:t>证</w:t>
      </w:r>
      <w:r w:rsidRPr="007A2732">
        <w:rPr>
          <w:rFonts w:ascii="黑体" w:eastAsia="黑体" w:hAnsi="黑体"/>
          <w:sz w:val="24"/>
          <w:szCs w:val="24"/>
        </w:rPr>
        <w:t xml:space="preserve"> e </w:t>
      </w:r>
      <w:r w:rsidRPr="007A2732">
        <w:rPr>
          <w:rFonts w:ascii="黑体" w:eastAsia="黑体" w:hAnsi="黑体" w:hint="eastAsia"/>
          <w:sz w:val="24"/>
          <w:szCs w:val="24"/>
        </w:rPr>
        <w:t>互动</w:t>
      </w:r>
      <w:r w:rsidRPr="007A2732">
        <w:rPr>
          <w:rFonts w:ascii="MS Mincho" w:eastAsia="MS Mincho" w:hAnsi="MS Mincho" w:cs="MS Mincho" w:hint="eastAsia"/>
          <w:sz w:val="24"/>
          <w:szCs w:val="24"/>
        </w:rPr>
        <w:t>‛</w:t>
      </w:r>
      <w:r w:rsidRPr="007A2732">
        <w:rPr>
          <w:rFonts w:ascii="黑体" w:eastAsia="黑体" w:hAnsi="黑体" w:hint="eastAsia"/>
          <w:sz w:val="24"/>
          <w:szCs w:val="24"/>
        </w:rPr>
        <w:t>网络平台等多种沟通渠道，及时、全面回复投资者疑问，共接听投资者关系热线约</w:t>
      </w:r>
      <w:r>
        <w:rPr>
          <w:rFonts w:ascii="黑体" w:eastAsia="黑体" w:hAnsi="黑体"/>
          <w:sz w:val="24"/>
          <w:szCs w:val="24"/>
        </w:rPr>
        <w:t>850</w:t>
      </w:r>
      <w:r w:rsidRPr="007A2732">
        <w:rPr>
          <w:rFonts w:ascii="黑体" w:eastAsia="黑体" w:hAnsi="黑体" w:hint="eastAsia"/>
          <w:sz w:val="24"/>
          <w:szCs w:val="24"/>
        </w:rPr>
        <w:t>次，处理投资者关系邮箱</w:t>
      </w:r>
      <w:r w:rsidRPr="007A2732">
        <w:rPr>
          <w:rFonts w:ascii="宋体" w:eastAsia="宋体" w:hAnsi="宋体" w:cs="宋体" w:hint="eastAsia"/>
          <w:sz w:val="24"/>
          <w:szCs w:val="24"/>
        </w:rPr>
        <w:t>‚</w:t>
      </w:r>
      <w:r w:rsidRPr="007A2732">
        <w:rPr>
          <w:rFonts w:ascii="黑体" w:eastAsia="黑体" w:hAnsi="黑体" w:cs="黑体" w:hint="eastAsia"/>
          <w:sz w:val="24"/>
          <w:szCs w:val="24"/>
        </w:rPr>
        <w:t>上证</w:t>
      </w:r>
      <w:r>
        <w:rPr>
          <w:rFonts w:ascii="黑体" w:eastAsia="黑体" w:hAnsi="黑体"/>
          <w:sz w:val="24"/>
          <w:szCs w:val="24"/>
        </w:rPr>
        <w:t>e</w:t>
      </w:r>
      <w:r w:rsidRPr="007A2732">
        <w:rPr>
          <w:rFonts w:ascii="黑体" w:eastAsia="黑体" w:hAnsi="黑体" w:hint="eastAsia"/>
          <w:sz w:val="24"/>
          <w:szCs w:val="24"/>
        </w:rPr>
        <w:t>互动</w:t>
      </w:r>
      <w:r w:rsidRPr="007A2732">
        <w:rPr>
          <w:rFonts w:ascii="MS Mincho" w:eastAsia="MS Mincho" w:hAnsi="MS Mincho" w:cs="MS Mincho" w:hint="eastAsia"/>
          <w:sz w:val="24"/>
          <w:szCs w:val="24"/>
        </w:rPr>
        <w:t>‛</w:t>
      </w:r>
      <w:r w:rsidRPr="007A2732">
        <w:rPr>
          <w:rFonts w:ascii="黑体" w:eastAsia="黑体" w:hAnsi="黑体" w:hint="eastAsia"/>
          <w:sz w:val="24"/>
          <w:szCs w:val="24"/>
        </w:rPr>
        <w:t>网络平台等渠道投资者问询</w:t>
      </w:r>
      <w:r>
        <w:rPr>
          <w:rFonts w:ascii="黑体" w:eastAsia="黑体" w:hAnsi="黑体"/>
          <w:sz w:val="24"/>
          <w:szCs w:val="24"/>
        </w:rPr>
        <w:t>136</w:t>
      </w:r>
      <w:r w:rsidRPr="007A2732">
        <w:rPr>
          <w:rFonts w:ascii="黑体" w:eastAsia="黑体" w:hAnsi="黑体" w:hint="eastAsia"/>
          <w:sz w:val="24"/>
          <w:szCs w:val="24"/>
        </w:rPr>
        <w:t>条。</w:t>
      </w:r>
    </w:p>
    <w:p w:rsidR="00460E17" w:rsidRDefault="00460E17" w:rsidP="00460E17">
      <w:pPr>
        <w:spacing w:line="220" w:lineRule="atLeast"/>
        <w:rPr>
          <w:rFonts w:ascii="黑体" w:eastAsia="黑体" w:hAnsi="黑体"/>
          <w:sz w:val="24"/>
          <w:szCs w:val="24"/>
        </w:rPr>
      </w:pPr>
    </w:p>
    <w:p w:rsidR="00557321" w:rsidRPr="00557321" w:rsidRDefault="00557321" w:rsidP="00557321">
      <w:pPr>
        <w:pStyle w:val="a3"/>
        <w:numPr>
          <w:ilvl w:val="0"/>
          <w:numId w:val="2"/>
        </w:numPr>
        <w:spacing w:line="220" w:lineRule="atLeast"/>
        <w:ind w:firstLineChars="0"/>
        <w:rPr>
          <w:rFonts w:ascii="黑体" w:eastAsia="黑体" w:hAnsi="黑体"/>
          <w:b/>
          <w:sz w:val="24"/>
          <w:szCs w:val="24"/>
        </w:rPr>
      </w:pPr>
      <w:r w:rsidRPr="00557321">
        <w:rPr>
          <w:rFonts w:ascii="黑体" w:eastAsia="黑体" w:hAnsi="黑体" w:hint="eastAsia"/>
          <w:b/>
          <w:sz w:val="28"/>
          <w:szCs w:val="28"/>
        </w:rPr>
        <w:t>顾客</w:t>
      </w:r>
    </w:p>
    <w:p w:rsidR="0015718A" w:rsidRDefault="0015718A" w:rsidP="00FB46FA">
      <w:pPr>
        <w:spacing w:line="220" w:lineRule="atLeast"/>
        <w:ind w:firstLineChars="200" w:firstLine="480"/>
        <w:rPr>
          <w:rFonts w:ascii="黑体" w:eastAsia="黑体" w:hAnsi="黑体"/>
          <w:sz w:val="24"/>
          <w:szCs w:val="24"/>
        </w:rPr>
      </w:pPr>
      <w:r>
        <w:rPr>
          <w:rFonts w:ascii="黑体" w:eastAsia="黑体" w:hAnsi="黑体" w:hint="eastAsia"/>
          <w:sz w:val="24"/>
          <w:szCs w:val="24"/>
        </w:rPr>
        <w:t>为了满足客户的各种需求推出了各种不同的业务。</w:t>
      </w:r>
    </w:p>
    <w:p w:rsidR="008016C1" w:rsidRPr="00EE7981" w:rsidRDefault="0015718A" w:rsidP="008A5B87">
      <w:pPr>
        <w:spacing w:line="220" w:lineRule="atLeast"/>
        <w:ind w:firstLineChars="200" w:firstLine="482"/>
        <w:rPr>
          <w:rFonts w:ascii="黑体" w:eastAsia="黑体" w:hAnsi="黑体"/>
          <w:sz w:val="24"/>
          <w:szCs w:val="24"/>
        </w:rPr>
      </w:pPr>
      <w:r w:rsidRPr="0015718A">
        <w:rPr>
          <w:rFonts w:ascii="黑体" w:eastAsia="黑体" w:hAnsi="黑体" w:hint="eastAsia"/>
          <w:b/>
          <w:sz w:val="24"/>
          <w:szCs w:val="24"/>
        </w:rPr>
        <w:lastRenderedPageBreak/>
        <w:t>生理</w:t>
      </w:r>
      <w:r w:rsidR="00FB46FA">
        <w:rPr>
          <w:rFonts w:ascii="黑体" w:eastAsia="黑体" w:hAnsi="黑体" w:hint="eastAsia"/>
          <w:b/>
          <w:sz w:val="24"/>
          <w:szCs w:val="24"/>
        </w:rPr>
        <w:t>的</w:t>
      </w:r>
      <w:r w:rsidR="00900601" w:rsidRPr="0015718A">
        <w:rPr>
          <w:rFonts w:ascii="黑体" w:eastAsia="黑体" w:hAnsi="黑体" w:hint="eastAsia"/>
          <w:b/>
          <w:sz w:val="24"/>
          <w:szCs w:val="24"/>
        </w:rPr>
        <w:t>需求</w:t>
      </w:r>
      <w:r>
        <w:rPr>
          <w:rFonts w:ascii="黑体" w:eastAsia="黑体" w:hAnsi="黑体" w:hint="eastAsia"/>
          <w:b/>
          <w:sz w:val="24"/>
          <w:szCs w:val="24"/>
        </w:rPr>
        <w:t>：</w:t>
      </w:r>
      <w:r w:rsidR="00FB46FA" w:rsidRPr="00FB46FA">
        <w:rPr>
          <w:rFonts w:ascii="黑体" w:eastAsia="黑体" w:hAnsi="黑体" w:hint="eastAsia"/>
          <w:sz w:val="24"/>
          <w:szCs w:val="24"/>
        </w:rPr>
        <w:t>“</w:t>
      </w:r>
      <w:r w:rsidR="00FB46FA">
        <w:rPr>
          <w:rFonts w:ascii="黑体" w:eastAsia="黑体" w:hAnsi="黑体" w:hint="eastAsia"/>
          <w:sz w:val="24"/>
          <w:szCs w:val="24"/>
        </w:rPr>
        <w:t>个人网络循环贷款”可以满足教育、旅游、装修、购物、婚庆等全方位的消费资金需求。</w:t>
      </w:r>
    </w:p>
    <w:p w:rsidR="00FB46FA" w:rsidRDefault="00900601" w:rsidP="008A5B87">
      <w:pPr>
        <w:spacing w:line="220" w:lineRule="atLeast"/>
        <w:ind w:firstLineChars="200" w:firstLine="482"/>
        <w:rPr>
          <w:rFonts w:ascii="黑体" w:eastAsia="黑体" w:hAnsi="黑体"/>
          <w:sz w:val="24"/>
          <w:szCs w:val="24"/>
        </w:rPr>
      </w:pPr>
      <w:r w:rsidRPr="00FB46FA">
        <w:rPr>
          <w:rFonts w:ascii="黑体" w:eastAsia="黑体" w:hAnsi="黑体" w:hint="eastAsia"/>
          <w:b/>
          <w:sz w:val="24"/>
          <w:szCs w:val="24"/>
        </w:rPr>
        <w:t>安全的需求</w:t>
      </w:r>
      <w:r w:rsidR="00FB46FA">
        <w:rPr>
          <w:rFonts w:ascii="黑体" w:eastAsia="黑体" w:hAnsi="黑体" w:hint="eastAsia"/>
          <w:b/>
          <w:sz w:val="24"/>
          <w:szCs w:val="24"/>
        </w:rPr>
        <w:t>：</w:t>
      </w:r>
      <w:r w:rsidR="00FB46FA">
        <w:rPr>
          <w:rFonts w:ascii="黑体" w:eastAsia="黑体" w:hAnsi="黑体" w:hint="eastAsia"/>
          <w:sz w:val="24"/>
          <w:szCs w:val="24"/>
        </w:rPr>
        <w:t>“保管箱租赁服务”以出租保管箱的形式代租用人保管贵重物品的一项服务业务，具有安全私密、设施先进、租用灵活的业务优势。</w:t>
      </w:r>
    </w:p>
    <w:p w:rsidR="00557321" w:rsidRDefault="00900601" w:rsidP="002B0417">
      <w:pPr>
        <w:spacing w:line="220" w:lineRule="atLeast"/>
        <w:ind w:firstLineChars="200" w:firstLine="482"/>
        <w:jc w:val="both"/>
        <w:rPr>
          <w:rFonts w:ascii="黑体" w:eastAsia="黑体" w:hAnsi="黑体"/>
          <w:sz w:val="24"/>
          <w:szCs w:val="24"/>
        </w:rPr>
      </w:pPr>
      <w:r w:rsidRPr="008016C1">
        <w:rPr>
          <w:rFonts w:ascii="黑体" w:eastAsia="黑体" w:hAnsi="黑体" w:hint="eastAsia"/>
          <w:b/>
          <w:sz w:val="24"/>
          <w:szCs w:val="24"/>
        </w:rPr>
        <w:t>其他需求</w:t>
      </w:r>
      <w:r w:rsidR="008016C1">
        <w:rPr>
          <w:rFonts w:ascii="黑体" w:eastAsia="黑体" w:hAnsi="黑体" w:hint="eastAsia"/>
          <w:b/>
          <w:sz w:val="24"/>
          <w:szCs w:val="24"/>
        </w:rPr>
        <w:t>：</w:t>
      </w:r>
      <w:r w:rsidR="002B0417">
        <w:rPr>
          <w:rFonts w:ascii="黑体" w:eastAsia="黑体" w:hAnsi="黑体" w:hint="eastAsia"/>
          <w:sz w:val="24"/>
          <w:szCs w:val="24"/>
        </w:rPr>
        <w:t>“中国银行·工薪贷”</w:t>
      </w:r>
      <w:r w:rsidR="002B0417" w:rsidRPr="002B0417">
        <w:rPr>
          <w:rFonts w:ascii="黑体" w:eastAsia="黑体" w:hAnsi="黑体" w:hint="eastAsia"/>
          <w:sz w:val="24"/>
          <w:szCs w:val="24"/>
        </w:rPr>
        <w:t>产品是为具有稳定、持续工资收入的企事业员工（包括但不限于公务员、国企员工、待遇与公务员基本一致的全额事业编制人员（如教师、医生）、武警与部队官兵等）提供的个人信用循环贷款，无需抵押、循环使用！“中国银行·益农贷”是专门面向从事种植业、养殖业、林业、农产品收购、加工行业等农村产业链的个体经营户发放的，用于解决经营过程中资金需求的个人投资经营贷款。</w:t>
      </w:r>
      <w:r w:rsidR="002B0417">
        <w:rPr>
          <w:rFonts w:ascii="黑体" w:eastAsia="黑体" w:hAnsi="黑体" w:hint="eastAsia"/>
          <w:sz w:val="24"/>
          <w:szCs w:val="24"/>
        </w:rPr>
        <w:t>“</w:t>
      </w:r>
      <w:r w:rsidR="002B0417" w:rsidRPr="002B0417">
        <w:rPr>
          <w:rFonts w:ascii="黑体" w:eastAsia="黑体" w:hAnsi="黑体" w:hint="eastAsia"/>
          <w:sz w:val="24"/>
          <w:szCs w:val="24"/>
        </w:rPr>
        <w:t>个人投资经营贷款</w:t>
      </w:r>
      <w:r w:rsidR="002B0417">
        <w:rPr>
          <w:rFonts w:ascii="黑体" w:eastAsia="黑体" w:hAnsi="黑体" w:hint="eastAsia"/>
          <w:sz w:val="24"/>
          <w:szCs w:val="24"/>
        </w:rPr>
        <w:t>”</w:t>
      </w:r>
      <w:r w:rsidR="002B0417" w:rsidRPr="002B0417">
        <w:rPr>
          <w:rFonts w:ascii="黑体" w:eastAsia="黑体" w:hAnsi="黑体" w:hint="eastAsia"/>
          <w:sz w:val="24"/>
          <w:szCs w:val="24"/>
        </w:rPr>
        <w:t>是指中国银行发放的用于解决借款客户投资经营过程中所需资金周转的贷款。</w:t>
      </w:r>
    </w:p>
    <w:p w:rsidR="00315F2C" w:rsidRPr="008016C1" w:rsidRDefault="00315F2C" w:rsidP="00315F2C">
      <w:pPr>
        <w:spacing w:line="220" w:lineRule="atLeast"/>
        <w:ind w:firstLineChars="200" w:firstLine="480"/>
        <w:jc w:val="both"/>
        <w:rPr>
          <w:rFonts w:ascii="黑体" w:eastAsia="黑体" w:hAnsi="黑体"/>
          <w:sz w:val="24"/>
          <w:szCs w:val="24"/>
        </w:rPr>
      </w:pPr>
      <w:r>
        <w:rPr>
          <w:rFonts w:ascii="黑体" w:eastAsia="黑体" w:hAnsi="黑体" w:hint="eastAsia"/>
          <w:sz w:val="24"/>
          <w:szCs w:val="24"/>
        </w:rPr>
        <w:t>中国银行“中银易商”聚焦市场变化和客户需求，在不断完善的中银e</w:t>
      </w:r>
      <w:r w:rsidR="00764089">
        <w:rPr>
          <w:rFonts w:ascii="黑体" w:eastAsia="黑体" w:hAnsi="黑体" w:hint="eastAsia"/>
          <w:sz w:val="24"/>
          <w:szCs w:val="24"/>
        </w:rPr>
        <w:t>社区产品功能，</w:t>
      </w:r>
      <w:r w:rsidR="00EE7981">
        <w:rPr>
          <w:rFonts w:ascii="黑体" w:eastAsia="黑体" w:hAnsi="黑体" w:hint="eastAsia"/>
          <w:sz w:val="24"/>
          <w:szCs w:val="24"/>
        </w:rPr>
        <w:t>打造全方位优质服务。</w:t>
      </w:r>
    </w:p>
    <w:tbl>
      <w:tblPr>
        <w:tblStyle w:val="a9"/>
        <w:tblW w:w="0" w:type="auto"/>
        <w:tblLook w:val="04A0"/>
      </w:tblPr>
      <w:tblGrid>
        <w:gridCol w:w="4261"/>
        <w:gridCol w:w="4261"/>
      </w:tblGrid>
      <w:tr w:rsidR="00EE7981" w:rsidTr="00EE7981">
        <w:tc>
          <w:tcPr>
            <w:tcW w:w="4261" w:type="dxa"/>
            <w:vAlign w:val="center"/>
          </w:tcPr>
          <w:p w:rsidR="00EE7981" w:rsidRPr="00EE7981" w:rsidRDefault="00EE7981" w:rsidP="00EE7981">
            <w:pPr>
              <w:spacing w:line="220" w:lineRule="atLeast"/>
              <w:jc w:val="center"/>
              <w:rPr>
                <w:rFonts w:ascii="黑体" w:eastAsia="黑体" w:hAnsi="黑体"/>
                <w:sz w:val="24"/>
                <w:szCs w:val="24"/>
              </w:rPr>
            </w:pPr>
            <w:r>
              <w:rPr>
                <w:rFonts w:ascii="黑体" w:eastAsia="黑体" w:hAnsi="黑体" w:hint="eastAsia"/>
                <w:sz w:val="24"/>
                <w:szCs w:val="24"/>
              </w:rPr>
              <w:t>中银e社区</w:t>
            </w:r>
          </w:p>
        </w:tc>
        <w:tc>
          <w:tcPr>
            <w:tcW w:w="4261" w:type="dxa"/>
          </w:tcPr>
          <w:p w:rsidR="00EE7981" w:rsidRPr="00EE7981" w:rsidRDefault="00EE7981" w:rsidP="007D28DE">
            <w:pPr>
              <w:spacing w:line="220" w:lineRule="atLeast"/>
              <w:rPr>
                <w:rFonts w:ascii="黑体" w:eastAsia="黑体" w:hAnsi="黑体"/>
                <w:sz w:val="24"/>
                <w:szCs w:val="24"/>
              </w:rPr>
            </w:pPr>
            <w:r w:rsidRPr="00EE7981">
              <w:rPr>
                <w:rFonts w:ascii="黑体" w:eastAsia="黑体" w:hAnsi="黑体" w:hint="eastAsia"/>
                <w:sz w:val="24"/>
                <w:szCs w:val="24"/>
              </w:rPr>
              <w:t>线上线下互通（O2O）、综合住户、社区商户、银行等服务主体的智能化社区服务体系</w:t>
            </w:r>
            <w:r>
              <w:rPr>
                <w:rFonts w:ascii="黑体" w:eastAsia="黑体" w:hAnsi="黑体" w:hint="eastAsia"/>
                <w:sz w:val="24"/>
                <w:szCs w:val="24"/>
              </w:rPr>
              <w:t>。</w:t>
            </w:r>
          </w:p>
        </w:tc>
      </w:tr>
      <w:tr w:rsidR="00EE7981" w:rsidTr="00EE7981">
        <w:tc>
          <w:tcPr>
            <w:tcW w:w="4261" w:type="dxa"/>
            <w:vAlign w:val="center"/>
          </w:tcPr>
          <w:p w:rsidR="00EE7981" w:rsidRPr="00EE7981" w:rsidRDefault="00EE7981" w:rsidP="00EE7981">
            <w:pPr>
              <w:spacing w:line="220" w:lineRule="atLeast"/>
              <w:jc w:val="center"/>
              <w:rPr>
                <w:rFonts w:ascii="黑体" w:eastAsia="黑体" w:hAnsi="黑体"/>
                <w:sz w:val="24"/>
                <w:szCs w:val="24"/>
              </w:rPr>
            </w:pPr>
            <w:r>
              <w:rPr>
                <w:rFonts w:ascii="黑体" w:eastAsia="黑体" w:hAnsi="黑体" w:hint="eastAsia"/>
                <w:sz w:val="24"/>
                <w:szCs w:val="24"/>
              </w:rPr>
              <w:t>中银e校园</w:t>
            </w:r>
          </w:p>
        </w:tc>
        <w:tc>
          <w:tcPr>
            <w:tcW w:w="4261" w:type="dxa"/>
          </w:tcPr>
          <w:p w:rsidR="00EE7981" w:rsidRPr="00EE7981" w:rsidRDefault="00EE7981" w:rsidP="007D28DE">
            <w:pPr>
              <w:spacing w:line="220" w:lineRule="atLeast"/>
              <w:rPr>
                <w:rFonts w:ascii="黑体" w:eastAsia="黑体" w:hAnsi="黑体"/>
                <w:sz w:val="24"/>
                <w:szCs w:val="24"/>
              </w:rPr>
            </w:pPr>
            <w:r w:rsidRPr="00EE7981">
              <w:rPr>
                <w:rFonts w:ascii="黑体" w:eastAsia="黑体" w:hAnsi="黑体" w:hint="eastAsia"/>
                <w:sz w:val="24"/>
                <w:szCs w:val="24"/>
              </w:rPr>
              <w:t>银校合作，为师生提供掌上金融和校园信息查询服务</w:t>
            </w:r>
            <w:r>
              <w:rPr>
                <w:rFonts w:ascii="黑体" w:eastAsia="黑体" w:hAnsi="黑体" w:hint="eastAsia"/>
                <w:sz w:val="24"/>
                <w:szCs w:val="24"/>
              </w:rPr>
              <w:t>。</w:t>
            </w:r>
          </w:p>
        </w:tc>
      </w:tr>
      <w:tr w:rsidR="00EE7981" w:rsidTr="00EE7981">
        <w:tc>
          <w:tcPr>
            <w:tcW w:w="4261" w:type="dxa"/>
            <w:vAlign w:val="center"/>
          </w:tcPr>
          <w:p w:rsidR="00EE7981" w:rsidRPr="00EE7981" w:rsidRDefault="00EE7981" w:rsidP="00EE7981">
            <w:pPr>
              <w:spacing w:line="220" w:lineRule="atLeast"/>
              <w:jc w:val="center"/>
              <w:rPr>
                <w:rFonts w:ascii="黑体" w:eastAsia="黑体" w:hAnsi="黑体"/>
                <w:sz w:val="24"/>
                <w:szCs w:val="24"/>
              </w:rPr>
            </w:pPr>
            <w:r>
              <w:rPr>
                <w:rFonts w:ascii="黑体" w:eastAsia="黑体" w:hAnsi="黑体" w:hint="eastAsia"/>
                <w:sz w:val="24"/>
                <w:szCs w:val="24"/>
              </w:rPr>
              <w:t>养老宝</w:t>
            </w:r>
          </w:p>
        </w:tc>
        <w:tc>
          <w:tcPr>
            <w:tcW w:w="4261" w:type="dxa"/>
          </w:tcPr>
          <w:p w:rsidR="00EE7981" w:rsidRPr="00EE7981" w:rsidRDefault="00EE7981" w:rsidP="00EE7981">
            <w:pPr>
              <w:tabs>
                <w:tab w:val="left" w:pos="804"/>
              </w:tabs>
              <w:spacing w:line="220" w:lineRule="atLeast"/>
              <w:rPr>
                <w:rFonts w:ascii="黑体" w:eastAsia="黑体" w:hAnsi="黑体"/>
                <w:sz w:val="24"/>
                <w:szCs w:val="24"/>
              </w:rPr>
            </w:pPr>
            <w:r w:rsidRPr="00EE7981">
              <w:rPr>
                <w:rFonts w:ascii="黑体" w:eastAsia="黑体" w:hAnsi="黑体" w:hint="eastAsia"/>
                <w:sz w:val="24"/>
                <w:szCs w:val="24"/>
              </w:rPr>
              <w:t>与基金公司合作推出余额理财服务，提供货币市场基金买入以及 T+0 快速卖出服务，可实时到账，提高客户资金使用效率</w:t>
            </w:r>
            <w:r>
              <w:rPr>
                <w:rFonts w:ascii="黑体" w:eastAsia="黑体" w:hAnsi="黑体" w:hint="eastAsia"/>
                <w:sz w:val="24"/>
                <w:szCs w:val="24"/>
              </w:rPr>
              <w:t>。</w:t>
            </w:r>
          </w:p>
        </w:tc>
      </w:tr>
      <w:tr w:rsidR="00EE7981" w:rsidTr="00EE7981">
        <w:tc>
          <w:tcPr>
            <w:tcW w:w="4261" w:type="dxa"/>
            <w:vAlign w:val="center"/>
          </w:tcPr>
          <w:p w:rsidR="00EE7981" w:rsidRPr="00EE7981" w:rsidRDefault="00EE7981" w:rsidP="00EE7981">
            <w:pPr>
              <w:spacing w:line="220" w:lineRule="atLeast"/>
              <w:jc w:val="center"/>
              <w:rPr>
                <w:rFonts w:ascii="黑体" w:eastAsia="黑体" w:hAnsi="黑体"/>
                <w:sz w:val="24"/>
                <w:szCs w:val="24"/>
              </w:rPr>
            </w:pPr>
            <w:r>
              <w:rPr>
                <w:rFonts w:ascii="黑体" w:eastAsia="黑体" w:hAnsi="黑体" w:hint="eastAsia"/>
                <w:sz w:val="24"/>
                <w:szCs w:val="24"/>
              </w:rPr>
              <w:t>出国金融</w:t>
            </w:r>
          </w:p>
        </w:tc>
        <w:tc>
          <w:tcPr>
            <w:tcW w:w="4261" w:type="dxa"/>
          </w:tcPr>
          <w:p w:rsidR="00EE7981" w:rsidRPr="00EE7981" w:rsidRDefault="00EE7981" w:rsidP="007D28DE">
            <w:pPr>
              <w:spacing w:line="220" w:lineRule="atLeast"/>
              <w:rPr>
                <w:rFonts w:ascii="黑体" w:eastAsia="黑体" w:hAnsi="黑体"/>
                <w:sz w:val="24"/>
                <w:szCs w:val="24"/>
              </w:rPr>
            </w:pPr>
            <w:r w:rsidRPr="00EE7981">
              <w:rPr>
                <w:rFonts w:ascii="黑体" w:eastAsia="黑体" w:hAnsi="黑体" w:hint="eastAsia"/>
                <w:sz w:val="24"/>
                <w:szCs w:val="24"/>
              </w:rPr>
              <w:t>为出国留学、国际商旅、投资移民、外派工作、来华人士提供全方位金融服务</w:t>
            </w:r>
            <w:r>
              <w:rPr>
                <w:rFonts w:ascii="黑体" w:eastAsia="黑体" w:hAnsi="黑体" w:hint="eastAsia"/>
                <w:sz w:val="24"/>
                <w:szCs w:val="24"/>
              </w:rPr>
              <w:t>。</w:t>
            </w:r>
          </w:p>
        </w:tc>
      </w:tr>
      <w:tr w:rsidR="00EE7981" w:rsidTr="00EE7981">
        <w:tc>
          <w:tcPr>
            <w:tcW w:w="4261" w:type="dxa"/>
            <w:vAlign w:val="center"/>
          </w:tcPr>
          <w:p w:rsidR="00EE7981" w:rsidRPr="00EE7981" w:rsidRDefault="00EE7981" w:rsidP="00EE7981">
            <w:pPr>
              <w:spacing w:line="220" w:lineRule="atLeast"/>
              <w:jc w:val="center"/>
              <w:rPr>
                <w:rFonts w:ascii="黑体" w:eastAsia="黑体" w:hAnsi="黑体"/>
                <w:sz w:val="24"/>
                <w:szCs w:val="24"/>
              </w:rPr>
            </w:pPr>
            <w:r w:rsidRPr="00EE7981">
              <w:rPr>
                <w:rFonts w:ascii="黑体" w:eastAsia="黑体" w:hAnsi="黑体" w:hint="eastAsia"/>
                <w:sz w:val="24"/>
                <w:szCs w:val="24"/>
              </w:rPr>
              <w:t>车商在线通</w:t>
            </w:r>
          </w:p>
        </w:tc>
        <w:tc>
          <w:tcPr>
            <w:tcW w:w="4261" w:type="dxa"/>
          </w:tcPr>
          <w:p w:rsidR="00EE7981" w:rsidRPr="00EE7981" w:rsidRDefault="00EE7981" w:rsidP="007D28DE">
            <w:pPr>
              <w:spacing w:line="220" w:lineRule="atLeast"/>
              <w:rPr>
                <w:rFonts w:ascii="黑体" w:eastAsia="黑体" w:hAnsi="黑体"/>
                <w:sz w:val="24"/>
                <w:szCs w:val="24"/>
              </w:rPr>
            </w:pPr>
            <w:r w:rsidRPr="00EE7981">
              <w:rPr>
                <w:rFonts w:ascii="黑体" w:eastAsia="黑体" w:hAnsi="黑体" w:hint="eastAsia"/>
                <w:sz w:val="24"/>
                <w:szCs w:val="24"/>
              </w:rPr>
              <w:t>为汽车行业客户提供在线融资申请、放款、B2B 支付等服务；客户随时随地查询合格证、授信额度使用、车辆库存等信息</w:t>
            </w:r>
            <w:r>
              <w:rPr>
                <w:rFonts w:ascii="黑体" w:eastAsia="黑体" w:hAnsi="黑体" w:hint="eastAsia"/>
                <w:sz w:val="24"/>
                <w:szCs w:val="24"/>
              </w:rPr>
              <w:t>。</w:t>
            </w:r>
          </w:p>
        </w:tc>
      </w:tr>
      <w:tr w:rsidR="00EE7981" w:rsidTr="00EE7981">
        <w:tc>
          <w:tcPr>
            <w:tcW w:w="4261" w:type="dxa"/>
            <w:vAlign w:val="center"/>
          </w:tcPr>
          <w:p w:rsidR="00EE7981" w:rsidRPr="00EE7981" w:rsidRDefault="00EE7981" w:rsidP="00EE7981">
            <w:pPr>
              <w:spacing w:line="220" w:lineRule="atLeast"/>
              <w:jc w:val="center"/>
              <w:rPr>
                <w:rFonts w:ascii="黑体" w:eastAsia="黑体" w:hAnsi="黑体"/>
                <w:sz w:val="24"/>
                <w:szCs w:val="24"/>
              </w:rPr>
            </w:pPr>
            <w:r>
              <w:rPr>
                <w:rFonts w:ascii="黑体" w:eastAsia="黑体" w:hAnsi="黑体" w:hint="eastAsia"/>
                <w:sz w:val="24"/>
                <w:szCs w:val="24"/>
              </w:rPr>
              <w:t>网络通宝</w:t>
            </w:r>
          </w:p>
        </w:tc>
        <w:tc>
          <w:tcPr>
            <w:tcW w:w="4261" w:type="dxa"/>
          </w:tcPr>
          <w:p w:rsidR="00EE7981" w:rsidRPr="00EE7981" w:rsidRDefault="00EE7981" w:rsidP="00EE7981">
            <w:pPr>
              <w:spacing w:line="220" w:lineRule="atLeast"/>
              <w:rPr>
                <w:rFonts w:ascii="黑体" w:eastAsia="黑体" w:hAnsi="黑体"/>
                <w:sz w:val="24"/>
                <w:szCs w:val="24"/>
              </w:rPr>
            </w:pPr>
            <w:r w:rsidRPr="00EE7981">
              <w:rPr>
                <w:rFonts w:ascii="黑体" w:eastAsia="黑体" w:hAnsi="黑体" w:hint="eastAsia"/>
                <w:sz w:val="24"/>
                <w:szCs w:val="24"/>
              </w:rPr>
              <w:t>在中小企业信贷工厂新模式基础上，向客户提供在线融资服务</w:t>
            </w:r>
            <w:r>
              <w:rPr>
                <w:rFonts w:ascii="黑体" w:eastAsia="黑体" w:hAnsi="黑体" w:hint="eastAsia"/>
                <w:sz w:val="24"/>
                <w:szCs w:val="24"/>
              </w:rPr>
              <w:t>。</w:t>
            </w:r>
          </w:p>
        </w:tc>
      </w:tr>
    </w:tbl>
    <w:p w:rsidR="00837257" w:rsidRDefault="00837257" w:rsidP="00ED09ED">
      <w:pPr>
        <w:spacing w:line="220" w:lineRule="atLeast"/>
        <w:rPr>
          <w:rFonts w:ascii="黑体" w:eastAsia="黑体" w:hAnsi="黑体"/>
          <w:b/>
          <w:sz w:val="28"/>
          <w:szCs w:val="28"/>
        </w:rPr>
      </w:pPr>
    </w:p>
    <w:p w:rsidR="00532D2E" w:rsidRPr="00ED09ED" w:rsidRDefault="007D28DE" w:rsidP="00ED09ED">
      <w:pPr>
        <w:spacing w:line="220" w:lineRule="atLeast"/>
        <w:rPr>
          <w:rFonts w:ascii="黑体" w:eastAsia="黑体" w:hAnsi="黑体"/>
          <w:b/>
          <w:sz w:val="28"/>
          <w:szCs w:val="28"/>
        </w:rPr>
      </w:pPr>
      <w:r>
        <w:rPr>
          <w:rFonts w:ascii="黑体" w:eastAsia="黑体" w:hAnsi="黑体" w:hint="eastAsia"/>
          <w:b/>
          <w:sz w:val="28"/>
          <w:szCs w:val="28"/>
        </w:rPr>
        <w:t>五、竞争对手</w:t>
      </w:r>
    </w:p>
    <w:p w:rsidR="00977DEF" w:rsidRDefault="00EE7981" w:rsidP="00532D2E">
      <w:pPr>
        <w:spacing w:line="220" w:lineRule="atLeast"/>
        <w:ind w:firstLineChars="200" w:firstLine="480"/>
        <w:rPr>
          <w:rFonts w:ascii="黑体" w:eastAsia="黑体" w:hAnsi="黑体"/>
          <w:sz w:val="24"/>
          <w:szCs w:val="24"/>
        </w:rPr>
      </w:pPr>
      <w:r>
        <w:rPr>
          <w:rFonts w:ascii="黑体" w:eastAsia="黑体" w:hAnsi="黑体" w:hint="eastAsia"/>
          <w:sz w:val="24"/>
          <w:szCs w:val="24"/>
        </w:rPr>
        <w:t>中</w:t>
      </w:r>
      <w:r w:rsidR="00076BD7">
        <w:rPr>
          <w:rFonts w:ascii="黑体" w:eastAsia="黑体" w:hAnsi="黑体" w:hint="eastAsia"/>
          <w:sz w:val="24"/>
          <w:szCs w:val="24"/>
        </w:rPr>
        <w:t>国银</w:t>
      </w:r>
      <w:r>
        <w:rPr>
          <w:rFonts w:ascii="黑体" w:eastAsia="黑体" w:hAnsi="黑体" w:hint="eastAsia"/>
          <w:sz w:val="24"/>
          <w:szCs w:val="24"/>
        </w:rPr>
        <w:t>行的主要竞争对手</w:t>
      </w:r>
      <w:r w:rsidR="00076BD7">
        <w:rPr>
          <w:rFonts w:ascii="黑体" w:eastAsia="黑体" w:hAnsi="黑体" w:hint="eastAsia"/>
          <w:sz w:val="24"/>
          <w:szCs w:val="24"/>
        </w:rPr>
        <w:t>是同为国有</w:t>
      </w:r>
      <w:r w:rsidR="009150B6">
        <w:rPr>
          <w:rFonts w:ascii="黑体" w:eastAsia="黑体" w:hAnsi="黑体" w:hint="eastAsia"/>
          <w:sz w:val="24"/>
          <w:szCs w:val="24"/>
        </w:rPr>
        <w:t>制商业银行的中国工商银行、中国建设银行和中国农业银行。以下为2015年末四家银行财务报表数据摘要对比：</w:t>
      </w:r>
    </w:p>
    <w:tbl>
      <w:tblPr>
        <w:tblStyle w:val="a9"/>
        <w:tblW w:w="0" w:type="auto"/>
        <w:tblLook w:val="04A0"/>
      </w:tblPr>
      <w:tblGrid>
        <w:gridCol w:w="2130"/>
        <w:gridCol w:w="2130"/>
        <w:gridCol w:w="2131"/>
        <w:gridCol w:w="2131"/>
      </w:tblGrid>
      <w:tr w:rsidR="009150B6" w:rsidTr="009150B6">
        <w:tc>
          <w:tcPr>
            <w:tcW w:w="2130" w:type="dxa"/>
            <w:vAlign w:val="center"/>
          </w:tcPr>
          <w:p w:rsidR="009150B6" w:rsidRDefault="009150B6" w:rsidP="009150B6">
            <w:pPr>
              <w:spacing w:line="220" w:lineRule="atLeast"/>
              <w:jc w:val="center"/>
              <w:rPr>
                <w:rFonts w:ascii="黑体" w:eastAsia="黑体" w:hAnsi="黑体"/>
                <w:sz w:val="24"/>
                <w:szCs w:val="24"/>
              </w:rPr>
            </w:pPr>
            <w:r>
              <w:rPr>
                <w:rFonts w:ascii="黑体" w:eastAsia="黑体" w:hAnsi="黑体" w:hint="eastAsia"/>
                <w:sz w:val="24"/>
                <w:szCs w:val="24"/>
              </w:rPr>
              <w:t>银行名称</w:t>
            </w:r>
          </w:p>
        </w:tc>
        <w:tc>
          <w:tcPr>
            <w:tcW w:w="2130" w:type="dxa"/>
          </w:tcPr>
          <w:p w:rsidR="009150B6" w:rsidRDefault="009150B6" w:rsidP="009150B6">
            <w:pPr>
              <w:spacing w:line="220" w:lineRule="atLeast"/>
              <w:jc w:val="center"/>
              <w:rPr>
                <w:rFonts w:ascii="黑体" w:eastAsia="黑体" w:hAnsi="黑体"/>
                <w:sz w:val="24"/>
                <w:szCs w:val="24"/>
              </w:rPr>
            </w:pPr>
            <w:r>
              <w:rPr>
                <w:rFonts w:ascii="黑体" w:eastAsia="黑体" w:hAnsi="黑体" w:hint="eastAsia"/>
                <w:sz w:val="24"/>
                <w:szCs w:val="24"/>
              </w:rPr>
              <w:t>营业利润</w:t>
            </w:r>
          </w:p>
          <w:p w:rsidR="009150B6" w:rsidRDefault="009150B6" w:rsidP="009150B6">
            <w:pPr>
              <w:spacing w:line="220" w:lineRule="atLeast"/>
              <w:jc w:val="center"/>
              <w:rPr>
                <w:rFonts w:ascii="黑体" w:eastAsia="黑体" w:hAnsi="黑体"/>
                <w:sz w:val="24"/>
                <w:szCs w:val="24"/>
              </w:rPr>
            </w:pPr>
            <w:r>
              <w:rPr>
                <w:rFonts w:ascii="黑体" w:eastAsia="黑体" w:hAnsi="黑体" w:hint="eastAsia"/>
                <w:sz w:val="24"/>
                <w:szCs w:val="24"/>
              </w:rPr>
              <w:t>（亿元）</w:t>
            </w:r>
          </w:p>
        </w:tc>
        <w:tc>
          <w:tcPr>
            <w:tcW w:w="2131" w:type="dxa"/>
          </w:tcPr>
          <w:p w:rsidR="009150B6" w:rsidRDefault="009150B6" w:rsidP="009150B6">
            <w:pPr>
              <w:spacing w:line="220" w:lineRule="atLeast"/>
              <w:jc w:val="center"/>
              <w:rPr>
                <w:rFonts w:ascii="黑体" w:eastAsia="黑体" w:hAnsi="黑体"/>
                <w:sz w:val="24"/>
                <w:szCs w:val="24"/>
              </w:rPr>
            </w:pPr>
            <w:r>
              <w:rPr>
                <w:rFonts w:ascii="黑体" w:eastAsia="黑体" w:hAnsi="黑体" w:hint="eastAsia"/>
                <w:sz w:val="24"/>
                <w:szCs w:val="24"/>
              </w:rPr>
              <w:t>净利润</w:t>
            </w:r>
          </w:p>
          <w:p w:rsidR="009150B6" w:rsidRDefault="009150B6" w:rsidP="009150B6">
            <w:pPr>
              <w:spacing w:line="220" w:lineRule="atLeast"/>
              <w:jc w:val="center"/>
              <w:rPr>
                <w:rFonts w:ascii="黑体" w:eastAsia="黑体" w:hAnsi="黑体"/>
                <w:sz w:val="24"/>
                <w:szCs w:val="24"/>
              </w:rPr>
            </w:pPr>
            <w:r>
              <w:rPr>
                <w:rFonts w:ascii="黑体" w:eastAsia="黑体" w:hAnsi="黑体" w:hint="eastAsia"/>
                <w:sz w:val="24"/>
                <w:szCs w:val="24"/>
              </w:rPr>
              <w:t>（亿元）</w:t>
            </w:r>
          </w:p>
        </w:tc>
        <w:tc>
          <w:tcPr>
            <w:tcW w:w="2131" w:type="dxa"/>
          </w:tcPr>
          <w:p w:rsidR="009150B6" w:rsidRDefault="009150B6" w:rsidP="009150B6">
            <w:pPr>
              <w:spacing w:line="220" w:lineRule="atLeast"/>
              <w:jc w:val="center"/>
              <w:rPr>
                <w:rFonts w:ascii="黑体" w:eastAsia="黑体" w:hAnsi="黑体"/>
                <w:sz w:val="24"/>
                <w:szCs w:val="24"/>
              </w:rPr>
            </w:pPr>
            <w:r>
              <w:rPr>
                <w:rFonts w:ascii="黑体" w:eastAsia="黑体" w:hAnsi="黑体" w:hint="eastAsia"/>
                <w:sz w:val="24"/>
                <w:szCs w:val="24"/>
              </w:rPr>
              <w:t>基本每股收益（元）</w:t>
            </w:r>
          </w:p>
        </w:tc>
      </w:tr>
      <w:tr w:rsidR="009150B6" w:rsidTr="009150B6">
        <w:tc>
          <w:tcPr>
            <w:tcW w:w="2130" w:type="dxa"/>
          </w:tcPr>
          <w:p w:rsidR="009150B6" w:rsidRDefault="009150B6" w:rsidP="009150B6">
            <w:pPr>
              <w:spacing w:line="220" w:lineRule="atLeast"/>
              <w:jc w:val="center"/>
              <w:rPr>
                <w:rFonts w:ascii="黑体" w:eastAsia="黑体" w:hAnsi="黑体"/>
                <w:sz w:val="24"/>
                <w:szCs w:val="24"/>
              </w:rPr>
            </w:pPr>
            <w:r>
              <w:rPr>
                <w:rFonts w:ascii="黑体" w:eastAsia="黑体" w:hAnsi="黑体" w:hint="eastAsia"/>
                <w:sz w:val="24"/>
                <w:szCs w:val="24"/>
              </w:rPr>
              <w:t>中国工商银行</w:t>
            </w:r>
          </w:p>
        </w:tc>
        <w:tc>
          <w:tcPr>
            <w:tcW w:w="2130" w:type="dxa"/>
          </w:tcPr>
          <w:p w:rsidR="009150B6" w:rsidRDefault="009150B6" w:rsidP="009150B6">
            <w:pPr>
              <w:spacing w:line="220" w:lineRule="atLeast"/>
              <w:jc w:val="center"/>
              <w:rPr>
                <w:rFonts w:ascii="黑体" w:eastAsia="黑体" w:hAnsi="黑体"/>
                <w:sz w:val="24"/>
                <w:szCs w:val="24"/>
              </w:rPr>
            </w:pPr>
            <w:r>
              <w:rPr>
                <w:rFonts w:ascii="黑体" w:eastAsia="黑体" w:hAnsi="黑体" w:hint="eastAsia"/>
                <w:sz w:val="24"/>
                <w:szCs w:val="24"/>
              </w:rPr>
              <w:t>3595</w:t>
            </w:r>
          </w:p>
        </w:tc>
        <w:tc>
          <w:tcPr>
            <w:tcW w:w="2131" w:type="dxa"/>
          </w:tcPr>
          <w:p w:rsidR="009150B6" w:rsidRDefault="009150B6" w:rsidP="009150B6">
            <w:pPr>
              <w:spacing w:line="220" w:lineRule="atLeast"/>
              <w:jc w:val="center"/>
              <w:rPr>
                <w:rFonts w:ascii="黑体" w:eastAsia="黑体" w:hAnsi="黑体"/>
                <w:sz w:val="24"/>
                <w:szCs w:val="24"/>
              </w:rPr>
            </w:pPr>
            <w:r>
              <w:rPr>
                <w:rFonts w:ascii="黑体" w:eastAsia="黑体" w:hAnsi="黑体" w:hint="eastAsia"/>
                <w:sz w:val="24"/>
                <w:szCs w:val="24"/>
              </w:rPr>
              <w:t>2777</w:t>
            </w:r>
          </w:p>
        </w:tc>
        <w:tc>
          <w:tcPr>
            <w:tcW w:w="2131" w:type="dxa"/>
          </w:tcPr>
          <w:p w:rsidR="009150B6" w:rsidRDefault="009150B6" w:rsidP="009150B6">
            <w:pPr>
              <w:spacing w:line="220" w:lineRule="atLeast"/>
              <w:jc w:val="center"/>
              <w:rPr>
                <w:rFonts w:ascii="黑体" w:eastAsia="黑体" w:hAnsi="黑体"/>
                <w:sz w:val="24"/>
                <w:szCs w:val="24"/>
              </w:rPr>
            </w:pPr>
            <w:r>
              <w:rPr>
                <w:rFonts w:ascii="黑体" w:eastAsia="黑体" w:hAnsi="黑体" w:hint="eastAsia"/>
                <w:sz w:val="24"/>
                <w:szCs w:val="24"/>
              </w:rPr>
              <w:t>0.77</w:t>
            </w:r>
          </w:p>
        </w:tc>
      </w:tr>
      <w:tr w:rsidR="009150B6" w:rsidTr="009150B6">
        <w:tc>
          <w:tcPr>
            <w:tcW w:w="2130" w:type="dxa"/>
          </w:tcPr>
          <w:p w:rsidR="009150B6" w:rsidRDefault="009150B6" w:rsidP="009150B6">
            <w:pPr>
              <w:spacing w:line="220" w:lineRule="atLeast"/>
              <w:jc w:val="center"/>
              <w:rPr>
                <w:rFonts w:ascii="黑体" w:eastAsia="黑体" w:hAnsi="黑体"/>
                <w:sz w:val="24"/>
                <w:szCs w:val="24"/>
              </w:rPr>
            </w:pPr>
            <w:r>
              <w:rPr>
                <w:rFonts w:ascii="黑体" w:eastAsia="黑体" w:hAnsi="黑体" w:hint="eastAsia"/>
                <w:sz w:val="24"/>
                <w:szCs w:val="24"/>
              </w:rPr>
              <w:t>中国建设银行</w:t>
            </w:r>
          </w:p>
        </w:tc>
        <w:tc>
          <w:tcPr>
            <w:tcW w:w="2130" w:type="dxa"/>
          </w:tcPr>
          <w:p w:rsidR="009150B6" w:rsidRDefault="009150B6" w:rsidP="009150B6">
            <w:pPr>
              <w:spacing w:line="220" w:lineRule="atLeast"/>
              <w:jc w:val="center"/>
              <w:rPr>
                <w:rFonts w:ascii="黑体" w:eastAsia="黑体" w:hAnsi="黑体"/>
                <w:sz w:val="24"/>
                <w:szCs w:val="24"/>
              </w:rPr>
            </w:pPr>
            <w:r>
              <w:rPr>
                <w:rFonts w:ascii="黑体" w:eastAsia="黑体" w:hAnsi="黑体" w:hint="eastAsia"/>
                <w:sz w:val="24"/>
                <w:szCs w:val="24"/>
              </w:rPr>
              <w:t>2960</w:t>
            </w:r>
          </w:p>
        </w:tc>
        <w:tc>
          <w:tcPr>
            <w:tcW w:w="2131" w:type="dxa"/>
          </w:tcPr>
          <w:p w:rsidR="009150B6" w:rsidRDefault="009150B6" w:rsidP="009150B6">
            <w:pPr>
              <w:spacing w:line="220" w:lineRule="atLeast"/>
              <w:jc w:val="center"/>
              <w:rPr>
                <w:rFonts w:ascii="黑体" w:eastAsia="黑体" w:hAnsi="黑体"/>
                <w:sz w:val="24"/>
                <w:szCs w:val="24"/>
              </w:rPr>
            </w:pPr>
            <w:r>
              <w:rPr>
                <w:rFonts w:ascii="黑体" w:eastAsia="黑体" w:hAnsi="黑体" w:hint="eastAsia"/>
                <w:sz w:val="24"/>
                <w:szCs w:val="24"/>
              </w:rPr>
              <w:t>2288</w:t>
            </w:r>
          </w:p>
        </w:tc>
        <w:tc>
          <w:tcPr>
            <w:tcW w:w="2131" w:type="dxa"/>
          </w:tcPr>
          <w:p w:rsidR="009150B6" w:rsidRDefault="009150B6" w:rsidP="009150B6">
            <w:pPr>
              <w:spacing w:line="220" w:lineRule="atLeast"/>
              <w:jc w:val="center"/>
              <w:rPr>
                <w:rFonts w:ascii="黑体" w:eastAsia="黑体" w:hAnsi="黑体"/>
                <w:sz w:val="24"/>
                <w:szCs w:val="24"/>
              </w:rPr>
            </w:pPr>
            <w:r>
              <w:rPr>
                <w:rFonts w:ascii="黑体" w:eastAsia="黑体" w:hAnsi="黑体" w:hint="eastAsia"/>
                <w:sz w:val="24"/>
                <w:szCs w:val="24"/>
              </w:rPr>
              <w:t>0.91</w:t>
            </w:r>
          </w:p>
        </w:tc>
      </w:tr>
      <w:tr w:rsidR="009150B6" w:rsidTr="009150B6">
        <w:tc>
          <w:tcPr>
            <w:tcW w:w="2130" w:type="dxa"/>
          </w:tcPr>
          <w:p w:rsidR="009150B6" w:rsidRDefault="009150B6" w:rsidP="009150B6">
            <w:pPr>
              <w:spacing w:line="220" w:lineRule="atLeast"/>
              <w:jc w:val="center"/>
              <w:rPr>
                <w:rFonts w:ascii="黑体" w:eastAsia="黑体" w:hAnsi="黑体"/>
                <w:sz w:val="24"/>
                <w:szCs w:val="24"/>
              </w:rPr>
            </w:pPr>
            <w:r>
              <w:rPr>
                <w:rFonts w:ascii="黑体" w:eastAsia="黑体" w:hAnsi="黑体" w:hint="eastAsia"/>
                <w:sz w:val="24"/>
                <w:szCs w:val="24"/>
              </w:rPr>
              <w:lastRenderedPageBreak/>
              <w:t>中国农业银行</w:t>
            </w:r>
          </w:p>
        </w:tc>
        <w:tc>
          <w:tcPr>
            <w:tcW w:w="2130" w:type="dxa"/>
          </w:tcPr>
          <w:p w:rsidR="009150B6" w:rsidRDefault="0075129C" w:rsidP="009150B6">
            <w:pPr>
              <w:spacing w:line="220" w:lineRule="atLeast"/>
              <w:jc w:val="center"/>
              <w:rPr>
                <w:rFonts w:ascii="黑体" w:eastAsia="黑体" w:hAnsi="黑体"/>
                <w:sz w:val="24"/>
                <w:szCs w:val="24"/>
              </w:rPr>
            </w:pPr>
            <w:r>
              <w:rPr>
                <w:rFonts w:ascii="黑体" w:eastAsia="黑体" w:hAnsi="黑体" w:hint="eastAsia"/>
                <w:sz w:val="24"/>
                <w:szCs w:val="24"/>
              </w:rPr>
              <w:t>2308</w:t>
            </w:r>
          </w:p>
        </w:tc>
        <w:tc>
          <w:tcPr>
            <w:tcW w:w="2131" w:type="dxa"/>
          </w:tcPr>
          <w:p w:rsidR="009150B6" w:rsidRDefault="0075129C" w:rsidP="009150B6">
            <w:pPr>
              <w:spacing w:line="220" w:lineRule="atLeast"/>
              <w:jc w:val="center"/>
              <w:rPr>
                <w:rFonts w:ascii="黑体" w:eastAsia="黑体" w:hAnsi="黑体"/>
                <w:sz w:val="24"/>
                <w:szCs w:val="24"/>
              </w:rPr>
            </w:pPr>
            <w:r>
              <w:rPr>
                <w:rFonts w:ascii="黑体" w:eastAsia="黑体" w:hAnsi="黑体" w:hint="eastAsia"/>
                <w:sz w:val="24"/>
                <w:szCs w:val="24"/>
              </w:rPr>
              <w:t>1805</w:t>
            </w:r>
          </w:p>
        </w:tc>
        <w:tc>
          <w:tcPr>
            <w:tcW w:w="2131" w:type="dxa"/>
          </w:tcPr>
          <w:p w:rsidR="009150B6" w:rsidRDefault="009150B6" w:rsidP="009150B6">
            <w:pPr>
              <w:spacing w:line="220" w:lineRule="atLeast"/>
              <w:jc w:val="center"/>
              <w:rPr>
                <w:rFonts w:ascii="黑体" w:eastAsia="黑体" w:hAnsi="黑体"/>
                <w:sz w:val="24"/>
                <w:szCs w:val="24"/>
              </w:rPr>
            </w:pPr>
            <w:r>
              <w:rPr>
                <w:rFonts w:ascii="黑体" w:eastAsia="黑体" w:hAnsi="黑体" w:hint="eastAsia"/>
                <w:sz w:val="24"/>
                <w:szCs w:val="24"/>
              </w:rPr>
              <w:t>0.55</w:t>
            </w:r>
          </w:p>
        </w:tc>
      </w:tr>
      <w:tr w:rsidR="009150B6" w:rsidTr="009150B6">
        <w:tc>
          <w:tcPr>
            <w:tcW w:w="2130" w:type="dxa"/>
          </w:tcPr>
          <w:p w:rsidR="009150B6" w:rsidRDefault="009150B6" w:rsidP="009150B6">
            <w:pPr>
              <w:spacing w:line="220" w:lineRule="atLeast"/>
              <w:jc w:val="center"/>
              <w:rPr>
                <w:rFonts w:ascii="黑体" w:eastAsia="黑体" w:hAnsi="黑体"/>
                <w:sz w:val="24"/>
                <w:szCs w:val="24"/>
              </w:rPr>
            </w:pPr>
            <w:r>
              <w:rPr>
                <w:rFonts w:ascii="黑体" w:eastAsia="黑体" w:hAnsi="黑体" w:hint="eastAsia"/>
                <w:sz w:val="24"/>
                <w:szCs w:val="24"/>
              </w:rPr>
              <w:t>中国银行</w:t>
            </w:r>
          </w:p>
        </w:tc>
        <w:tc>
          <w:tcPr>
            <w:tcW w:w="2130" w:type="dxa"/>
          </w:tcPr>
          <w:p w:rsidR="009150B6" w:rsidRDefault="009150B6" w:rsidP="009150B6">
            <w:pPr>
              <w:spacing w:line="220" w:lineRule="atLeast"/>
              <w:jc w:val="center"/>
              <w:rPr>
                <w:rFonts w:ascii="黑体" w:eastAsia="黑体" w:hAnsi="黑体"/>
                <w:sz w:val="24"/>
                <w:szCs w:val="24"/>
              </w:rPr>
            </w:pPr>
            <w:r>
              <w:rPr>
                <w:rFonts w:ascii="黑体" w:eastAsia="黑体" w:hAnsi="黑体" w:hint="eastAsia"/>
                <w:sz w:val="24"/>
                <w:szCs w:val="24"/>
              </w:rPr>
              <w:t>2303</w:t>
            </w:r>
          </w:p>
        </w:tc>
        <w:tc>
          <w:tcPr>
            <w:tcW w:w="2131" w:type="dxa"/>
          </w:tcPr>
          <w:p w:rsidR="009150B6" w:rsidRDefault="009150B6" w:rsidP="009150B6">
            <w:pPr>
              <w:spacing w:line="220" w:lineRule="atLeast"/>
              <w:jc w:val="center"/>
              <w:rPr>
                <w:rFonts w:ascii="黑体" w:eastAsia="黑体" w:hAnsi="黑体"/>
                <w:sz w:val="24"/>
                <w:szCs w:val="24"/>
              </w:rPr>
            </w:pPr>
            <w:r>
              <w:rPr>
                <w:rFonts w:ascii="黑体" w:eastAsia="黑体" w:hAnsi="黑体" w:hint="eastAsia"/>
                <w:sz w:val="24"/>
                <w:szCs w:val="24"/>
              </w:rPr>
              <w:t>1794</w:t>
            </w:r>
          </w:p>
        </w:tc>
        <w:tc>
          <w:tcPr>
            <w:tcW w:w="2131" w:type="dxa"/>
          </w:tcPr>
          <w:p w:rsidR="009150B6" w:rsidRDefault="009150B6" w:rsidP="009150B6">
            <w:pPr>
              <w:spacing w:line="220" w:lineRule="atLeast"/>
              <w:jc w:val="center"/>
              <w:rPr>
                <w:rFonts w:ascii="黑体" w:eastAsia="黑体" w:hAnsi="黑体"/>
                <w:sz w:val="24"/>
                <w:szCs w:val="24"/>
              </w:rPr>
            </w:pPr>
            <w:r>
              <w:rPr>
                <w:rFonts w:ascii="黑体" w:eastAsia="黑体" w:hAnsi="黑体" w:hint="eastAsia"/>
                <w:sz w:val="24"/>
                <w:szCs w:val="24"/>
              </w:rPr>
              <w:t>0.56</w:t>
            </w:r>
          </w:p>
        </w:tc>
      </w:tr>
    </w:tbl>
    <w:p w:rsidR="00977DEF" w:rsidRDefault="00977DEF" w:rsidP="0075129C">
      <w:pPr>
        <w:spacing w:line="220" w:lineRule="atLeast"/>
        <w:rPr>
          <w:rFonts w:ascii="黑体" w:eastAsia="黑体" w:hAnsi="黑体"/>
          <w:sz w:val="24"/>
          <w:szCs w:val="24"/>
        </w:rPr>
      </w:pPr>
    </w:p>
    <w:p w:rsidR="00564609" w:rsidRDefault="0075129C" w:rsidP="00094BD6">
      <w:pPr>
        <w:spacing w:line="220" w:lineRule="atLeast"/>
        <w:ind w:firstLineChars="200" w:firstLine="480"/>
        <w:jc w:val="both"/>
        <w:rPr>
          <w:rFonts w:ascii="黑体" w:eastAsia="黑体" w:hAnsi="黑体"/>
          <w:sz w:val="24"/>
          <w:szCs w:val="24"/>
        </w:rPr>
      </w:pPr>
      <w:r w:rsidRPr="0075129C">
        <w:rPr>
          <w:rFonts w:ascii="黑体" w:eastAsia="黑体" w:hAnsi="黑体" w:hint="eastAsia"/>
          <w:sz w:val="24"/>
          <w:szCs w:val="24"/>
        </w:rPr>
        <w:t>随着移动互联网的快速发展和智能手机的广泛普及，市场对手机银行的接受程度越来越高。2014年年报数据显示，10家上市银行手机银行用户量突破5.4亿户，同比增长33.62%。其中四大行的手机银行用户规模占87.5%，远高于股份制商业银行。但从用户增长率来看，基数较大的四大行手机银行用户增长乏力，而股份制银行手机银行用户增速迅猛，民生、浦发、平安等股份制银行的手机银行用户量均实现翻番。</w:t>
      </w:r>
    </w:p>
    <w:p w:rsidR="00564609" w:rsidRDefault="00564609" w:rsidP="00564609">
      <w:pPr>
        <w:spacing w:line="220" w:lineRule="atLeast"/>
        <w:jc w:val="both"/>
        <w:rPr>
          <w:rFonts w:ascii="黑体" w:eastAsia="黑体" w:hAnsi="黑体"/>
          <w:sz w:val="24"/>
          <w:szCs w:val="24"/>
        </w:rPr>
      </w:pPr>
      <w:r>
        <w:rPr>
          <w:rFonts w:ascii="黑体" w:eastAsia="黑体" w:hAnsi="黑体"/>
          <w:noProof/>
          <w:sz w:val="24"/>
          <w:szCs w:val="24"/>
        </w:rPr>
        <w:drawing>
          <wp:inline distT="0" distB="0" distL="0" distR="0">
            <wp:extent cx="5274310" cy="3028216"/>
            <wp:effectExtent l="19050" t="0" r="2540" b="0"/>
            <wp:docPr id="25" name="图片 6" descr="89078E55ABDB499DA393AA54CF9788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078E55ABDB499DA393AA54CF978868.png"/>
                    <pic:cNvPicPr/>
                  </pic:nvPicPr>
                  <pic:blipFill>
                    <a:blip r:embed="rId10" cstate="print"/>
                    <a:stretch>
                      <a:fillRect/>
                    </a:stretch>
                  </pic:blipFill>
                  <pic:spPr>
                    <a:xfrm>
                      <a:off x="0" y="0"/>
                      <a:ext cx="5274310" cy="3028216"/>
                    </a:xfrm>
                    <a:prstGeom prst="rect">
                      <a:avLst/>
                    </a:prstGeom>
                  </pic:spPr>
                </pic:pic>
              </a:graphicData>
            </a:graphic>
          </wp:inline>
        </w:drawing>
      </w:r>
    </w:p>
    <w:p w:rsidR="00F07742" w:rsidRDefault="00F07742" w:rsidP="00F07742">
      <w:pPr>
        <w:spacing w:line="220" w:lineRule="atLeast"/>
        <w:jc w:val="center"/>
        <w:rPr>
          <w:rFonts w:ascii="黑体" w:eastAsia="黑体" w:hAnsi="黑体"/>
          <w:sz w:val="24"/>
          <w:szCs w:val="24"/>
        </w:rPr>
      </w:pPr>
      <w:r>
        <w:rPr>
          <w:rFonts w:ascii="黑体" w:eastAsia="黑体" w:hAnsi="黑体" w:hint="eastAsia"/>
          <w:noProof/>
          <w:sz w:val="24"/>
          <w:szCs w:val="24"/>
        </w:rPr>
        <w:drawing>
          <wp:inline distT="0" distB="0" distL="0" distR="0">
            <wp:extent cx="4476750" cy="3644075"/>
            <wp:effectExtent l="19050" t="0" r="0" b="0"/>
            <wp:docPr id="28" name="图片 27" descr="1431500510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1500510261.jpg"/>
                    <pic:cNvPicPr/>
                  </pic:nvPicPr>
                  <pic:blipFill>
                    <a:blip r:embed="rId11" cstate="print"/>
                    <a:stretch>
                      <a:fillRect/>
                    </a:stretch>
                  </pic:blipFill>
                  <pic:spPr>
                    <a:xfrm>
                      <a:off x="0" y="0"/>
                      <a:ext cx="4476750" cy="3644075"/>
                    </a:xfrm>
                    <a:prstGeom prst="rect">
                      <a:avLst/>
                    </a:prstGeom>
                  </pic:spPr>
                </pic:pic>
              </a:graphicData>
            </a:graphic>
          </wp:inline>
        </w:drawing>
      </w:r>
    </w:p>
    <w:p w:rsidR="00564609" w:rsidRDefault="00564609" w:rsidP="00564609">
      <w:pPr>
        <w:spacing w:line="220" w:lineRule="atLeast"/>
        <w:rPr>
          <w:rFonts w:ascii="黑体" w:eastAsia="黑体" w:hAnsi="黑体"/>
          <w:sz w:val="24"/>
          <w:szCs w:val="24"/>
        </w:rPr>
      </w:pPr>
      <w:r>
        <w:rPr>
          <w:rFonts w:ascii="黑体" w:eastAsia="黑体" w:hAnsi="黑体" w:hint="eastAsia"/>
          <w:sz w:val="24"/>
          <w:szCs w:val="24"/>
        </w:rPr>
        <w:lastRenderedPageBreak/>
        <w:t xml:space="preserve"> </w:t>
      </w:r>
    </w:p>
    <w:p w:rsidR="00884486" w:rsidRDefault="00884486" w:rsidP="00564609">
      <w:pPr>
        <w:spacing w:line="220" w:lineRule="atLeast"/>
        <w:ind w:firstLineChars="200" w:firstLine="480"/>
        <w:jc w:val="both"/>
        <w:rPr>
          <w:rFonts w:ascii="黑体" w:eastAsia="黑体" w:hAnsi="黑体"/>
          <w:sz w:val="24"/>
          <w:szCs w:val="24"/>
        </w:rPr>
      </w:pPr>
      <w:r w:rsidRPr="00884486">
        <w:rPr>
          <w:rFonts w:ascii="黑体" w:eastAsia="黑体" w:hAnsi="黑体" w:hint="eastAsia"/>
          <w:sz w:val="24"/>
          <w:szCs w:val="24"/>
        </w:rPr>
        <w:t>在手机银行功能创新优化上，民生银行表现较为独特，是银行业首家推出手机银行微账单服务的商业银行，该服务主要是基于收集的后台数据，将客户活跃程度、金融资产、理财、人脉等进行模型分析，并以雷达图表展现，提示客户财富管理的短板，对于手机银行功能完善、客户体验和精准营销等具有积极作用，近期，民生手机银行客户数更是突破1500万，其在功能创新和客户体验方面所做的努力已显现出成效。</w:t>
      </w:r>
    </w:p>
    <w:p w:rsidR="00977DEF" w:rsidRDefault="004425DB" w:rsidP="00564609">
      <w:pPr>
        <w:spacing w:line="220" w:lineRule="atLeast"/>
        <w:ind w:firstLineChars="200" w:firstLine="480"/>
        <w:jc w:val="both"/>
        <w:rPr>
          <w:rFonts w:ascii="黑体" w:eastAsia="黑体" w:hAnsi="黑体"/>
          <w:sz w:val="24"/>
          <w:szCs w:val="24"/>
        </w:rPr>
      </w:pPr>
      <w:r w:rsidRPr="004425DB">
        <w:rPr>
          <w:rFonts w:ascii="黑体" w:eastAsia="黑体" w:hAnsi="黑体" w:hint="eastAsia"/>
          <w:sz w:val="24"/>
          <w:szCs w:val="24"/>
        </w:rPr>
        <w:t>商业银行手机银行功能和服务越来越完善、易用，创新方向也在逐渐随着用户的需求变化而变化，而且用户体验、营销方式等方面积极汲取互联网公司的经验。这些改变不仅是受互联网企业的影响，更多的是商业银行自身变革的需要以及对客户诉求的响应。</w:t>
      </w:r>
    </w:p>
    <w:p w:rsidR="00532D2E" w:rsidRDefault="00532D2E" w:rsidP="00532D2E">
      <w:pPr>
        <w:spacing w:line="220" w:lineRule="atLeast"/>
        <w:rPr>
          <w:rFonts w:ascii="黑体" w:eastAsia="黑体" w:hAnsi="黑体"/>
          <w:b/>
          <w:sz w:val="28"/>
          <w:szCs w:val="28"/>
        </w:rPr>
      </w:pPr>
      <w:r>
        <w:rPr>
          <w:rFonts w:ascii="黑体" w:eastAsia="黑体" w:hAnsi="黑体" w:hint="eastAsia"/>
          <w:b/>
          <w:sz w:val="28"/>
          <w:szCs w:val="28"/>
        </w:rPr>
        <w:t>六、替代品状态</w:t>
      </w:r>
    </w:p>
    <w:p w:rsidR="003B084C" w:rsidRDefault="00564609" w:rsidP="009A4857">
      <w:pPr>
        <w:spacing w:line="220" w:lineRule="atLeast"/>
        <w:jc w:val="both"/>
        <w:rPr>
          <w:rFonts w:ascii="黑体" w:eastAsia="黑体" w:hAnsi="黑体"/>
          <w:sz w:val="24"/>
          <w:szCs w:val="24"/>
        </w:rPr>
      </w:pPr>
      <w:r>
        <w:rPr>
          <w:rFonts w:ascii="黑体" w:eastAsia="黑体" w:hAnsi="黑体" w:hint="eastAsia"/>
          <w:noProof/>
          <w:sz w:val="24"/>
          <w:szCs w:val="24"/>
        </w:rPr>
        <w:drawing>
          <wp:inline distT="0" distB="0" distL="0" distR="0">
            <wp:extent cx="5223510" cy="4831231"/>
            <wp:effectExtent l="19050" t="0" r="0" b="0"/>
            <wp:docPr id="15" name="图片 12" descr="155351c7-2a45-469f-9fba-b9b97ba2c1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351c7-2a45-469f-9fba-b9b97ba2c14b.png"/>
                    <pic:cNvPicPr/>
                  </pic:nvPicPr>
                  <pic:blipFill>
                    <a:blip r:embed="rId12" cstate="print"/>
                    <a:stretch>
                      <a:fillRect/>
                    </a:stretch>
                  </pic:blipFill>
                  <pic:spPr>
                    <a:xfrm>
                      <a:off x="0" y="0"/>
                      <a:ext cx="5229348" cy="4836631"/>
                    </a:xfrm>
                    <a:prstGeom prst="rect">
                      <a:avLst/>
                    </a:prstGeom>
                  </pic:spPr>
                </pic:pic>
              </a:graphicData>
            </a:graphic>
          </wp:inline>
        </w:drawing>
      </w:r>
      <w:r w:rsidR="003B084C" w:rsidRPr="003B084C">
        <w:rPr>
          <w:rFonts w:ascii="黑体" w:eastAsia="黑体" w:hAnsi="黑体" w:hint="eastAsia"/>
          <w:b/>
          <w:sz w:val="24"/>
          <w:szCs w:val="24"/>
        </w:rPr>
        <w:t>余额宝</w:t>
      </w:r>
      <w:r w:rsidR="003B084C">
        <w:rPr>
          <w:rFonts w:ascii="黑体" w:eastAsia="黑体" w:hAnsi="黑体" w:hint="eastAsia"/>
          <w:sz w:val="24"/>
          <w:szCs w:val="24"/>
        </w:rPr>
        <w:t>的出现给商业银行的</w:t>
      </w:r>
      <w:r w:rsidR="003B084C" w:rsidRPr="009A4857">
        <w:rPr>
          <w:rFonts w:ascii="黑体" w:eastAsia="黑体" w:hAnsi="黑体" w:hint="eastAsia"/>
          <w:b/>
          <w:sz w:val="24"/>
          <w:szCs w:val="24"/>
        </w:rPr>
        <w:t>影响</w:t>
      </w:r>
      <w:r w:rsidR="003B084C">
        <w:rPr>
          <w:rFonts w:ascii="黑体" w:eastAsia="黑体" w:hAnsi="黑体" w:hint="eastAsia"/>
          <w:sz w:val="24"/>
          <w:szCs w:val="24"/>
        </w:rPr>
        <w:t>：</w:t>
      </w:r>
    </w:p>
    <w:p w:rsidR="003B084C" w:rsidRDefault="009A4857" w:rsidP="009A4857">
      <w:pPr>
        <w:spacing w:line="220" w:lineRule="atLeast"/>
        <w:ind w:firstLineChars="200" w:firstLine="480"/>
        <w:jc w:val="both"/>
        <w:rPr>
          <w:rFonts w:ascii="黑体" w:eastAsia="黑体" w:hAnsi="黑体"/>
          <w:sz w:val="24"/>
          <w:szCs w:val="24"/>
        </w:rPr>
      </w:pPr>
      <w:r>
        <w:rPr>
          <w:rFonts w:ascii="黑体" w:eastAsia="黑体" w:hAnsi="黑体" w:hint="eastAsia"/>
          <w:sz w:val="24"/>
          <w:szCs w:val="24"/>
        </w:rPr>
        <w:t>（一）</w:t>
      </w:r>
      <w:r w:rsidR="003B084C" w:rsidRPr="003B084C">
        <w:rPr>
          <w:rFonts w:ascii="黑体" w:eastAsia="黑体" w:hAnsi="黑体" w:hint="eastAsia"/>
          <w:sz w:val="24"/>
          <w:szCs w:val="24"/>
        </w:rPr>
        <w:t>与商业银行活期存款相比，余额宝的收益远超银行活期存款利息，以2013年6月28日为例，余额宝的7日年化收益率为6.084%，而银行活期存款利率仅0.35%，不可避免地会对银行存款产生一定分流作用。</w:t>
      </w:r>
    </w:p>
    <w:p w:rsidR="003B084C" w:rsidRDefault="009A4857" w:rsidP="009A4857">
      <w:pPr>
        <w:spacing w:line="220" w:lineRule="atLeast"/>
        <w:ind w:firstLineChars="200" w:firstLine="480"/>
        <w:jc w:val="both"/>
        <w:rPr>
          <w:rFonts w:ascii="黑体" w:eastAsia="黑体" w:hAnsi="黑体"/>
          <w:sz w:val="24"/>
          <w:szCs w:val="24"/>
        </w:rPr>
      </w:pPr>
      <w:r>
        <w:rPr>
          <w:rFonts w:ascii="黑体" w:eastAsia="黑体" w:hAnsi="黑体" w:hint="eastAsia"/>
          <w:sz w:val="24"/>
          <w:szCs w:val="24"/>
        </w:rPr>
        <w:lastRenderedPageBreak/>
        <w:t>（</w:t>
      </w:r>
      <w:r w:rsidR="003B084C" w:rsidRPr="003B084C">
        <w:rPr>
          <w:rFonts w:ascii="黑体" w:eastAsia="黑体" w:hAnsi="黑体" w:hint="eastAsia"/>
          <w:sz w:val="24"/>
          <w:szCs w:val="24"/>
        </w:rPr>
        <w:t>二</w:t>
      </w:r>
      <w:r>
        <w:rPr>
          <w:rFonts w:ascii="黑体" w:eastAsia="黑体" w:hAnsi="黑体" w:hint="eastAsia"/>
          <w:sz w:val="24"/>
          <w:szCs w:val="24"/>
        </w:rPr>
        <w:t>）</w:t>
      </w:r>
      <w:r w:rsidR="003B084C" w:rsidRPr="003B084C">
        <w:rPr>
          <w:rFonts w:ascii="黑体" w:eastAsia="黑体" w:hAnsi="黑体" w:hint="eastAsia"/>
          <w:sz w:val="24"/>
          <w:szCs w:val="24"/>
        </w:rPr>
        <w:t>与商业银行理财产品相比，余额宝不仅能够因持有货币基金得到较高收益，还能随时赎回基金用于消费支付和转出，其流动性与活期存款相当，而且余额宝对用户的最低购买金额没有限制，一元钱就能购买，让广大支付宝用户通过“存零花钱”方式就能获得增值机会，从而可能对银行理财产品销售构成一定冲击。</w:t>
      </w:r>
    </w:p>
    <w:p w:rsidR="003B084C" w:rsidRDefault="009A4857" w:rsidP="009A4857">
      <w:pPr>
        <w:spacing w:line="220" w:lineRule="atLeast"/>
        <w:ind w:firstLineChars="200" w:firstLine="480"/>
        <w:jc w:val="both"/>
        <w:rPr>
          <w:rFonts w:ascii="黑体" w:eastAsia="黑体" w:hAnsi="黑体"/>
          <w:sz w:val="24"/>
          <w:szCs w:val="24"/>
        </w:rPr>
      </w:pPr>
      <w:r>
        <w:rPr>
          <w:rFonts w:ascii="黑体" w:eastAsia="黑体" w:hAnsi="黑体" w:hint="eastAsia"/>
          <w:sz w:val="24"/>
          <w:szCs w:val="24"/>
        </w:rPr>
        <w:t>（</w:t>
      </w:r>
      <w:r w:rsidR="003B084C" w:rsidRPr="003B084C">
        <w:rPr>
          <w:rFonts w:ascii="黑体" w:eastAsia="黑体" w:hAnsi="黑体" w:hint="eastAsia"/>
          <w:sz w:val="24"/>
          <w:szCs w:val="24"/>
        </w:rPr>
        <w:t>三</w:t>
      </w:r>
      <w:r>
        <w:rPr>
          <w:rFonts w:ascii="黑体" w:eastAsia="黑体" w:hAnsi="黑体" w:hint="eastAsia"/>
          <w:sz w:val="24"/>
          <w:szCs w:val="24"/>
        </w:rPr>
        <w:t>）</w:t>
      </w:r>
      <w:r w:rsidR="003B084C" w:rsidRPr="003B084C">
        <w:rPr>
          <w:rFonts w:ascii="黑体" w:eastAsia="黑体" w:hAnsi="黑体" w:hint="eastAsia"/>
          <w:sz w:val="24"/>
          <w:szCs w:val="24"/>
        </w:rPr>
        <w:t>随着未来支付宝公司引入更多的资产管理公司，推出更多的金融产品，加上其他第三方支付公司纷纷效仿的聚集效应，很可能对商业银行的基金代销业务造成一定影响。</w:t>
      </w:r>
    </w:p>
    <w:p w:rsidR="00BD6C1F" w:rsidRDefault="00BD6C1F" w:rsidP="00BD6C1F">
      <w:pPr>
        <w:spacing w:line="220" w:lineRule="atLeast"/>
        <w:ind w:firstLineChars="200" w:firstLine="480"/>
        <w:jc w:val="both"/>
        <w:rPr>
          <w:rFonts w:ascii="黑体" w:eastAsia="黑体" w:hAnsi="黑体"/>
          <w:sz w:val="24"/>
          <w:szCs w:val="24"/>
        </w:rPr>
      </w:pPr>
      <w:r>
        <w:rPr>
          <w:rFonts w:ascii="黑体" w:eastAsia="黑体" w:hAnsi="黑体" w:hint="eastAsia"/>
          <w:sz w:val="24"/>
          <w:szCs w:val="24"/>
        </w:rPr>
        <w:t>据央行微博</w:t>
      </w:r>
      <w:r w:rsidR="00F07742">
        <w:rPr>
          <w:rFonts w:ascii="黑体" w:eastAsia="黑体" w:hAnsi="黑体" w:hint="eastAsia"/>
          <w:sz w:val="24"/>
          <w:szCs w:val="24"/>
        </w:rPr>
        <w:t>发出的</w:t>
      </w:r>
      <w:r>
        <w:rPr>
          <w:rFonts w:ascii="黑体" w:eastAsia="黑体" w:hAnsi="黑体" w:hint="eastAsia"/>
          <w:sz w:val="24"/>
          <w:szCs w:val="24"/>
        </w:rPr>
        <w:t>统计显示，</w:t>
      </w:r>
      <w:r w:rsidRPr="00BD6C1F">
        <w:rPr>
          <w:rFonts w:ascii="黑体" w:eastAsia="黑体" w:hAnsi="黑体" w:hint="eastAsia"/>
          <w:sz w:val="24"/>
          <w:szCs w:val="24"/>
        </w:rPr>
        <w:t>2014年1月份的人民币存款罕见地减少9402亿元，而去年同期该数据为净增长7499亿元。</w:t>
      </w:r>
    </w:p>
    <w:p w:rsidR="009A4857" w:rsidRPr="009A4857" w:rsidRDefault="009A4857" w:rsidP="009A4857">
      <w:pPr>
        <w:spacing w:line="220" w:lineRule="atLeast"/>
        <w:jc w:val="both"/>
        <w:rPr>
          <w:rFonts w:ascii="黑体" w:eastAsia="黑体" w:hAnsi="黑体"/>
          <w:sz w:val="24"/>
          <w:szCs w:val="24"/>
        </w:rPr>
      </w:pPr>
      <w:r>
        <w:rPr>
          <w:rFonts w:ascii="黑体" w:eastAsia="黑体" w:hAnsi="黑体" w:hint="eastAsia"/>
          <w:b/>
          <w:sz w:val="24"/>
          <w:szCs w:val="24"/>
        </w:rPr>
        <w:t>余额宝</w:t>
      </w:r>
      <w:r>
        <w:rPr>
          <w:rFonts w:ascii="黑体" w:eastAsia="黑体" w:hAnsi="黑体" w:hint="eastAsia"/>
          <w:sz w:val="24"/>
          <w:szCs w:val="24"/>
        </w:rPr>
        <w:t>对商业银行的</w:t>
      </w:r>
      <w:r w:rsidRPr="009A4857">
        <w:rPr>
          <w:rFonts w:ascii="黑体" w:eastAsia="黑体" w:hAnsi="黑体" w:hint="eastAsia"/>
          <w:b/>
          <w:sz w:val="24"/>
          <w:szCs w:val="24"/>
        </w:rPr>
        <w:t>启示</w:t>
      </w:r>
      <w:r>
        <w:rPr>
          <w:rFonts w:ascii="黑体" w:eastAsia="黑体" w:hAnsi="黑体" w:hint="eastAsia"/>
          <w:sz w:val="24"/>
          <w:szCs w:val="24"/>
        </w:rPr>
        <w:t>：</w:t>
      </w:r>
    </w:p>
    <w:p w:rsidR="009A4857" w:rsidRDefault="009A4857" w:rsidP="009A4857">
      <w:pPr>
        <w:spacing w:line="220" w:lineRule="atLeast"/>
        <w:ind w:firstLineChars="200" w:firstLine="480"/>
        <w:jc w:val="both"/>
        <w:rPr>
          <w:rFonts w:ascii="黑体" w:eastAsia="黑体" w:hAnsi="黑体"/>
          <w:sz w:val="24"/>
          <w:szCs w:val="24"/>
        </w:rPr>
      </w:pPr>
      <w:r w:rsidRPr="009A4857">
        <w:rPr>
          <w:rFonts w:ascii="黑体" w:eastAsia="黑体" w:hAnsi="黑体" w:hint="eastAsia"/>
          <w:sz w:val="24"/>
          <w:szCs w:val="24"/>
        </w:rPr>
        <w:t>(一)尽快推出类似产品。由于商业银行客户、资金、渠道等优势得天独厚，特别是具备支付宝不具有的经营存款的先天优势，加上余额宝的问世彰显基金T+O赎回的技术已经成熟，商业银行完全具备推出类似产品的条件。为了减小余额宝对商业银行相关业务的冲击，商业银行应争取尽快推出类似产品，如网银实现活期存款账户余额自动申购T+0赎回货币基金、拓展T+0货币基金支付功能等。</w:t>
      </w:r>
    </w:p>
    <w:p w:rsidR="009A4857" w:rsidRDefault="009A4857" w:rsidP="009A4857">
      <w:pPr>
        <w:spacing w:line="220" w:lineRule="atLeast"/>
        <w:ind w:firstLineChars="200" w:firstLine="480"/>
        <w:jc w:val="both"/>
        <w:rPr>
          <w:rFonts w:ascii="黑体" w:eastAsia="黑体" w:hAnsi="黑体"/>
          <w:sz w:val="24"/>
          <w:szCs w:val="24"/>
        </w:rPr>
      </w:pPr>
      <w:r w:rsidRPr="009A4857">
        <w:rPr>
          <w:rFonts w:ascii="黑体" w:eastAsia="黑体" w:hAnsi="黑体" w:hint="eastAsia"/>
          <w:sz w:val="24"/>
          <w:szCs w:val="24"/>
        </w:rPr>
        <w:t>(二)强化“以客户为中心”的创新意识。此次余额宝的推出，对商业银行的最大启示应当是，商业银行在业务发展中必须“以客户为中心”，加强市场调研，准确把握客户的金融服务需求，切实换位思考，从客户的角度创新产品、优化流程、提升服务，不断提高客户满意度。</w:t>
      </w:r>
    </w:p>
    <w:p w:rsidR="009A4857" w:rsidRDefault="009A4857" w:rsidP="009A4857">
      <w:pPr>
        <w:spacing w:line="220" w:lineRule="atLeast"/>
        <w:ind w:firstLineChars="200" w:firstLine="480"/>
        <w:jc w:val="both"/>
        <w:rPr>
          <w:rFonts w:ascii="黑体" w:eastAsia="黑体" w:hAnsi="黑体"/>
          <w:sz w:val="24"/>
          <w:szCs w:val="24"/>
        </w:rPr>
      </w:pPr>
      <w:r w:rsidRPr="009A4857">
        <w:rPr>
          <w:rFonts w:ascii="黑体" w:eastAsia="黑体" w:hAnsi="黑体" w:hint="eastAsia"/>
          <w:sz w:val="24"/>
          <w:szCs w:val="24"/>
        </w:rPr>
        <w:t>(三)加大信息技术与银行经营管理的深度融合。信息化技术在此次余额宝的推出中占有举足轻重的地位，主要体现在以下两点：一是使业务流程更便捷。比如为了使支付宝用户只需点击“转入”按钮，确认信息，即可完成基金开户，实现便捷的“一键开户”流程，天弘基金公司专门与金证科技公司合作开发了嵌入支付宝的基金直销系统，并与支付宝后台进行了大量的复杂技术安排。二是使基金T+0赎回变为现实。正是基金公司借助大数据，实现了对资金流动性的准确预估，降低了流动性风险，才使基金赎回从传统的T+2、T+3变为T+0，进而使余额宝实时消费支付成为可能。</w:t>
      </w:r>
    </w:p>
    <w:p w:rsidR="00BD6C1F" w:rsidRDefault="00BD6C1F" w:rsidP="00BD6C1F">
      <w:pPr>
        <w:spacing w:line="220" w:lineRule="atLeast"/>
        <w:jc w:val="both"/>
        <w:rPr>
          <w:rFonts w:ascii="黑体" w:eastAsia="黑体" w:hAnsi="黑体"/>
          <w:sz w:val="24"/>
          <w:szCs w:val="24"/>
        </w:rPr>
      </w:pPr>
    </w:p>
    <w:p w:rsidR="003B084C" w:rsidRDefault="003B084C" w:rsidP="009A4857">
      <w:pPr>
        <w:spacing w:line="220" w:lineRule="atLeast"/>
        <w:ind w:firstLineChars="200" w:firstLine="480"/>
        <w:jc w:val="both"/>
        <w:rPr>
          <w:rFonts w:ascii="黑体" w:eastAsia="黑体" w:hAnsi="黑体"/>
          <w:sz w:val="24"/>
          <w:szCs w:val="24"/>
        </w:rPr>
      </w:pPr>
      <w:r w:rsidRPr="003B084C">
        <w:rPr>
          <w:rFonts w:ascii="黑体" w:eastAsia="黑体" w:hAnsi="黑体" w:hint="eastAsia"/>
          <w:sz w:val="24"/>
          <w:szCs w:val="24"/>
        </w:rPr>
        <w:t>2014年1月以来，已有5家银行上线类“余额宝”产品，包括平安银行、工商银行、交通银行、中国银行、民生银行。虽然其内核仍是货币基金，但与银行传统意义上代销的货基有所不同，这些产品更靠近余额宝的模式——1分钱起购，0手续费，每日获得收益，并且满足T+0赎回使用。其中最早出现的是平安银行的“平安盈”，其挂钩的产品为南方现金增利回拨基金和平安大华日增利货币基金，最新的7日年化收益为5.88%。上周，中国银行的活期宝悄然上线，支持中国银行卡T+0赎回，单笔及单日上限30万元，其最新7日年化收益为6.30%。2月22日，民生直销银行体验版出现在民生银行官网页面，在其下包括“如意宝”，可投资的货基包括汇添富和民生加银基金，官网显示的</w:t>
      </w:r>
      <w:r w:rsidRPr="003B084C">
        <w:rPr>
          <w:rFonts w:ascii="黑体" w:eastAsia="黑体" w:hAnsi="黑体" w:hint="eastAsia"/>
          <w:sz w:val="24"/>
          <w:szCs w:val="24"/>
        </w:rPr>
        <w:lastRenderedPageBreak/>
        <w:t>7日年化收益均为6.6%。另外，工商银行在浙江地区小范围推出“天天益”理财，主要挂钩产品为工银货币基金，最新7日年化收益5.9%，同样是T+0产品，目前尚未推广至其他省市。还有交通银行与易方达基金联合推出“实时提现”，可满足客户7×24小时申购和赎回需求，资金T+0实时到账。</w:t>
      </w:r>
    </w:p>
    <w:p w:rsidR="00917731" w:rsidRDefault="00917731" w:rsidP="009A4857">
      <w:pPr>
        <w:spacing w:line="220" w:lineRule="atLeast"/>
        <w:ind w:firstLineChars="200" w:firstLine="480"/>
        <w:jc w:val="both"/>
        <w:rPr>
          <w:rFonts w:ascii="黑体" w:eastAsia="黑体" w:hAnsi="黑体"/>
          <w:sz w:val="24"/>
          <w:szCs w:val="24"/>
        </w:rPr>
      </w:pPr>
      <w:r>
        <w:rPr>
          <w:rFonts w:ascii="黑体" w:eastAsia="黑体" w:hAnsi="黑体" w:hint="eastAsia"/>
          <w:sz w:val="24"/>
          <w:szCs w:val="24"/>
        </w:rPr>
        <w:t>各种“宝</w:t>
      </w:r>
      <w:r>
        <w:rPr>
          <w:rFonts w:ascii="黑体" w:eastAsia="黑体" w:hAnsi="黑体"/>
          <w:sz w:val="24"/>
          <w:szCs w:val="24"/>
        </w:rPr>
        <w:t>”</w:t>
      </w:r>
      <w:r>
        <w:rPr>
          <w:rFonts w:ascii="黑体" w:eastAsia="黑体" w:hAnsi="黑体" w:hint="eastAsia"/>
          <w:sz w:val="24"/>
          <w:szCs w:val="24"/>
        </w:rPr>
        <w:t>之间展开激烈竞争，获益的最终是投资者，</w:t>
      </w:r>
      <w:r w:rsidR="00FF53E8">
        <w:rPr>
          <w:rFonts w:ascii="黑体" w:eastAsia="黑体" w:hAnsi="黑体" w:hint="eastAsia"/>
          <w:sz w:val="24"/>
          <w:szCs w:val="24"/>
        </w:rPr>
        <w:t>但银行面临的不仅仅是来自互联网金融对增量资金的竞争，银行同业间的竞争同样激烈，所以必须不停的创新，新的营销方式无疑成了竞争的主要手段。</w:t>
      </w:r>
    </w:p>
    <w:p w:rsidR="008D337B" w:rsidRDefault="008D337B" w:rsidP="009A4857">
      <w:pPr>
        <w:spacing w:line="220" w:lineRule="atLeast"/>
        <w:jc w:val="both"/>
        <w:rPr>
          <w:rFonts w:ascii="黑体" w:eastAsia="黑体" w:hAnsi="黑体"/>
          <w:sz w:val="24"/>
          <w:szCs w:val="24"/>
        </w:rPr>
      </w:pPr>
      <w:r>
        <w:rPr>
          <w:rFonts w:ascii="黑体" w:eastAsia="黑体" w:hAnsi="黑体" w:hint="eastAsia"/>
          <w:b/>
          <w:sz w:val="28"/>
          <w:szCs w:val="28"/>
        </w:rPr>
        <w:t>七、公众</w:t>
      </w:r>
    </w:p>
    <w:p w:rsidR="008D337B" w:rsidRDefault="00E96C41" w:rsidP="009A4857">
      <w:pPr>
        <w:spacing w:line="220" w:lineRule="atLeast"/>
        <w:ind w:firstLineChars="200" w:firstLine="480"/>
        <w:jc w:val="both"/>
        <w:rPr>
          <w:rFonts w:ascii="黑体" w:eastAsia="黑体" w:hAnsi="黑体"/>
          <w:sz w:val="24"/>
          <w:szCs w:val="24"/>
        </w:rPr>
      </w:pPr>
      <w:r w:rsidRPr="00E96C41">
        <w:rPr>
          <w:rFonts w:ascii="黑体" w:eastAsia="黑体" w:hAnsi="黑体" w:hint="eastAsia"/>
          <w:sz w:val="24"/>
          <w:szCs w:val="24"/>
        </w:rPr>
        <w:t>中国银行多年来的信誉和业绩，得到了来自业界、客户和权威媒体的广泛认可。曾先后9次被《欧洲货币》评选为“中国最佳银</w:t>
      </w:r>
      <w:r>
        <w:rPr>
          <w:rFonts w:ascii="黑体" w:eastAsia="黑体" w:hAnsi="黑体" w:hint="eastAsia"/>
          <w:sz w:val="24"/>
          <w:szCs w:val="24"/>
        </w:rPr>
        <w:t>行”和“中国最佳国内</w:t>
      </w:r>
      <w:r w:rsidRPr="00E96C41">
        <w:rPr>
          <w:rFonts w:ascii="黑体" w:eastAsia="黑体" w:hAnsi="黑体" w:hint="eastAsia"/>
          <w:sz w:val="24"/>
          <w:szCs w:val="24"/>
        </w:rPr>
        <w:t>银行”；连续16年进入《财富》杂志评选的世界500强企业；同时，被《财资》评为“中国最佳国内银行”；被美国《环球金融》杂志评为“中国最佳贸易融资银行”及“中国最佳外汇银行”；被《远东经济评论》评为“中国地区产品服务十强企业”；中银香港重组上市后，先后荣获《投资者关系》“最佳IPO投资者关系奖”和《亚洲金融》“最佳交易、最佳私有化奖”等多个重要奖项。</w:t>
      </w:r>
    </w:p>
    <w:p w:rsidR="00AC0DEA" w:rsidRDefault="00AC0DEA" w:rsidP="009A4857">
      <w:pPr>
        <w:spacing w:line="220" w:lineRule="atLeast"/>
        <w:ind w:firstLineChars="200" w:firstLine="480"/>
        <w:jc w:val="both"/>
        <w:rPr>
          <w:rFonts w:ascii="黑体" w:eastAsia="黑体" w:hAnsi="黑体"/>
          <w:sz w:val="24"/>
          <w:szCs w:val="24"/>
        </w:rPr>
      </w:pPr>
      <w:r>
        <w:rPr>
          <w:rFonts w:ascii="黑体" w:eastAsia="黑体" w:hAnsi="黑体" w:hint="eastAsia"/>
          <w:sz w:val="24"/>
          <w:szCs w:val="24"/>
        </w:rPr>
        <w:t>但是曾经发生的负面新闻却使公众形象受到严重影响：</w:t>
      </w:r>
      <w:r w:rsidR="00E96C41" w:rsidRPr="00E96C41">
        <w:rPr>
          <w:rFonts w:ascii="黑体" w:eastAsia="黑体" w:hAnsi="黑体" w:hint="eastAsia"/>
          <w:sz w:val="24"/>
          <w:szCs w:val="24"/>
        </w:rPr>
        <w:t>2014年7月9日，央视曝光中国银行公然造假洗黑钱，称中国银行为了拉客户，和移民中介相互勾结、帮客户造假洗钱。不管客户钱来源，都可帮其流出境外，中行某支行工作人员称，其实就是帮您洗一下钱。  央视认为，中国银行帮银行换外汇将收取一笔可观的费用，手续费大概在千分之三到千分之四，相当于汇率贵点。中行突破管制帮助问题资</w:t>
      </w:r>
      <w:r w:rsidR="00C5355C">
        <w:rPr>
          <w:rFonts w:ascii="黑体" w:eastAsia="黑体" w:hAnsi="黑体" w:hint="eastAsia"/>
          <w:sz w:val="24"/>
          <w:szCs w:val="24"/>
        </w:rPr>
        <w:t>金外逃并打到国外账户，涉嫌违法。</w:t>
      </w:r>
      <w:r w:rsidR="00E96C41" w:rsidRPr="00E96C41">
        <w:rPr>
          <w:rFonts w:ascii="黑体" w:eastAsia="黑体" w:hAnsi="黑体" w:hint="eastAsia"/>
          <w:sz w:val="24"/>
          <w:szCs w:val="24"/>
        </w:rPr>
        <w:t>该事件导致银行股全线走低，中行h股午后跳水，跌逾2%，现报3.5港元，跌2.51%。农行跌2.5%，工行、建行均跌逾1%。</w:t>
      </w:r>
    </w:p>
    <w:p w:rsidR="00E96C41" w:rsidRDefault="00E96C41" w:rsidP="009A4857">
      <w:pPr>
        <w:spacing w:line="220" w:lineRule="atLeast"/>
        <w:ind w:firstLineChars="200" w:firstLine="480"/>
        <w:jc w:val="both"/>
        <w:rPr>
          <w:rFonts w:ascii="黑体" w:eastAsia="黑体" w:hAnsi="黑体"/>
          <w:sz w:val="24"/>
          <w:szCs w:val="24"/>
        </w:rPr>
      </w:pPr>
      <w:r w:rsidRPr="00E96C41">
        <w:rPr>
          <w:rFonts w:ascii="黑体" w:eastAsia="黑体" w:hAnsi="黑体" w:hint="eastAsia"/>
          <w:sz w:val="24"/>
          <w:szCs w:val="24"/>
        </w:rPr>
        <w:t>315</w:t>
      </w:r>
      <w:r w:rsidR="00AC0DEA">
        <w:rPr>
          <w:rFonts w:ascii="黑体" w:eastAsia="黑体" w:hAnsi="黑体" w:hint="eastAsia"/>
          <w:sz w:val="24"/>
          <w:szCs w:val="24"/>
        </w:rPr>
        <w:t>遭</w:t>
      </w:r>
      <w:r w:rsidRPr="00E96C41">
        <w:rPr>
          <w:rFonts w:ascii="黑体" w:eastAsia="黑体" w:hAnsi="黑体" w:hint="eastAsia"/>
          <w:sz w:val="24"/>
          <w:szCs w:val="24"/>
        </w:rPr>
        <w:t>曝光  2015年3月15日，央视315晚会曝光，中国银行网点工作人员办理业务时对客户身份审核不严，用买来的身份证在也能开卡的问题。</w:t>
      </w:r>
    </w:p>
    <w:p w:rsidR="00AC0DEA" w:rsidRDefault="006A3EE5" w:rsidP="009A4857">
      <w:pPr>
        <w:spacing w:line="220" w:lineRule="atLeast"/>
        <w:ind w:firstLineChars="200" w:firstLine="480"/>
        <w:jc w:val="both"/>
        <w:rPr>
          <w:rFonts w:ascii="黑体" w:eastAsia="黑体" w:hAnsi="黑体"/>
          <w:sz w:val="24"/>
          <w:szCs w:val="24"/>
        </w:rPr>
      </w:pPr>
      <w:r>
        <w:rPr>
          <w:rFonts w:ascii="黑体" w:eastAsia="黑体" w:hAnsi="黑体" w:hint="eastAsia"/>
          <w:sz w:val="24"/>
          <w:szCs w:val="24"/>
        </w:rPr>
        <w:t>近几年来</w:t>
      </w:r>
      <w:r w:rsidRPr="006A3EE5">
        <w:rPr>
          <w:rFonts w:ascii="黑体" w:eastAsia="黑体" w:hAnsi="黑体" w:hint="eastAsia"/>
          <w:sz w:val="24"/>
          <w:szCs w:val="24"/>
        </w:rPr>
        <w:t>，中行积极传播社会正能量，努力为公众创造更多的社会福祉，各领域公益活动全面开展。通过捐款、紧急援助等方式，先后支持了西藏地震灾区、缅甸水灾灾区的救灾及重建工作。</w:t>
      </w:r>
    </w:p>
    <w:p w:rsidR="00AC0DEA" w:rsidRDefault="00AC0DEA" w:rsidP="00E96C41">
      <w:pPr>
        <w:spacing w:line="220" w:lineRule="atLeast"/>
        <w:ind w:firstLineChars="200" w:firstLine="480"/>
        <w:rPr>
          <w:rFonts w:ascii="黑体" w:eastAsia="黑体" w:hAnsi="黑体"/>
          <w:sz w:val="24"/>
          <w:szCs w:val="24"/>
        </w:rPr>
      </w:pPr>
      <w:r>
        <w:rPr>
          <w:rFonts w:ascii="黑体" w:eastAsia="黑体" w:hAnsi="黑体"/>
          <w:noProof/>
          <w:sz w:val="24"/>
          <w:szCs w:val="24"/>
        </w:rPr>
        <w:drawing>
          <wp:inline distT="0" distB="0" distL="0" distR="0">
            <wp:extent cx="2232660" cy="1276623"/>
            <wp:effectExtent l="19050" t="0" r="0" b="0"/>
            <wp:docPr id="9" name="图片 8" descr="09-22-59-46-133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22-59-46-133063.jpg"/>
                    <pic:cNvPicPr/>
                  </pic:nvPicPr>
                  <pic:blipFill>
                    <a:blip r:embed="rId13" cstate="print"/>
                    <a:stretch>
                      <a:fillRect/>
                    </a:stretch>
                  </pic:blipFill>
                  <pic:spPr>
                    <a:xfrm>
                      <a:off x="0" y="0"/>
                      <a:ext cx="2245979" cy="1284239"/>
                    </a:xfrm>
                    <a:prstGeom prst="rect">
                      <a:avLst/>
                    </a:prstGeom>
                  </pic:spPr>
                </pic:pic>
              </a:graphicData>
            </a:graphic>
          </wp:inline>
        </w:drawing>
      </w:r>
      <w:r>
        <w:rPr>
          <w:rFonts w:ascii="黑体" w:eastAsia="黑体" w:hAnsi="黑体"/>
          <w:noProof/>
          <w:sz w:val="24"/>
          <w:szCs w:val="24"/>
        </w:rPr>
        <w:drawing>
          <wp:inline distT="0" distB="0" distL="0" distR="0">
            <wp:extent cx="2606246" cy="1280160"/>
            <wp:effectExtent l="19050" t="0" r="3604" b="0"/>
            <wp:docPr id="10" name="图片 9" descr="09-22-55-60-133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22-55-60-133063.jpg"/>
                    <pic:cNvPicPr/>
                  </pic:nvPicPr>
                  <pic:blipFill>
                    <a:blip r:embed="rId14" cstate="print"/>
                    <a:stretch>
                      <a:fillRect/>
                    </a:stretch>
                  </pic:blipFill>
                  <pic:spPr>
                    <a:xfrm>
                      <a:off x="0" y="0"/>
                      <a:ext cx="2613396" cy="1283672"/>
                    </a:xfrm>
                    <a:prstGeom prst="rect">
                      <a:avLst/>
                    </a:prstGeom>
                  </pic:spPr>
                </pic:pic>
              </a:graphicData>
            </a:graphic>
          </wp:inline>
        </w:drawing>
      </w:r>
    </w:p>
    <w:p w:rsidR="00D92B61" w:rsidRDefault="00D92B61" w:rsidP="00E96C41">
      <w:pPr>
        <w:spacing w:line="220" w:lineRule="atLeast"/>
        <w:ind w:firstLineChars="200" w:firstLine="480"/>
        <w:rPr>
          <w:rFonts w:ascii="黑体" w:eastAsia="黑体" w:hAnsi="黑体"/>
          <w:sz w:val="24"/>
          <w:szCs w:val="24"/>
        </w:rPr>
      </w:pPr>
    </w:p>
    <w:p w:rsidR="00D92B61" w:rsidRDefault="00D92B61" w:rsidP="00E96C41">
      <w:pPr>
        <w:spacing w:line="220" w:lineRule="atLeast"/>
        <w:ind w:firstLineChars="200" w:firstLine="480"/>
        <w:rPr>
          <w:rFonts w:ascii="黑体" w:eastAsia="黑体" w:hAnsi="黑体"/>
          <w:sz w:val="24"/>
          <w:szCs w:val="24"/>
        </w:rPr>
      </w:pPr>
    </w:p>
    <w:p w:rsidR="00D92B61" w:rsidRDefault="00D92B61" w:rsidP="00E96C41">
      <w:pPr>
        <w:spacing w:line="220" w:lineRule="atLeast"/>
        <w:ind w:firstLineChars="200" w:firstLine="480"/>
        <w:rPr>
          <w:rFonts w:ascii="黑体" w:eastAsia="黑体" w:hAnsi="黑体"/>
          <w:sz w:val="24"/>
          <w:szCs w:val="24"/>
        </w:rPr>
      </w:pPr>
    </w:p>
    <w:p w:rsidR="00D92B61" w:rsidRDefault="00D92B61" w:rsidP="00E96C41">
      <w:pPr>
        <w:spacing w:line="220" w:lineRule="atLeast"/>
        <w:ind w:firstLineChars="200" w:firstLine="480"/>
        <w:rPr>
          <w:rFonts w:ascii="黑体" w:eastAsia="黑体" w:hAnsi="黑体"/>
          <w:sz w:val="24"/>
          <w:szCs w:val="24"/>
        </w:rPr>
      </w:pPr>
    </w:p>
    <w:p w:rsidR="00D92B61" w:rsidRDefault="00D92B61" w:rsidP="00D92B61">
      <w:pPr>
        <w:spacing w:line="220" w:lineRule="atLeast"/>
        <w:ind w:firstLineChars="200" w:firstLine="360"/>
        <w:rPr>
          <w:rFonts w:ascii="黑体" w:eastAsia="黑体" w:hAnsi="黑体"/>
          <w:sz w:val="18"/>
          <w:szCs w:val="18"/>
        </w:rPr>
      </w:pPr>
      <w:r>
        <w:rPr>
          <w:rFonts w:ascii="黑体" w:eastAsia="黑体" w:hAnsi="黑体" w:hint="eastAsia"/>
          <w:sz w:val="18"/>
          <w:szCs w:val="18"/>
        </w:rPr>
        <w:t>参考资料来源：</w:t>
      </w:r>
    </w:p>
    <w:p w:rsidR="00D92B61" w:rsidRDefault="001A4487" w:rsidP="00440962">
      <w:pPr>
        <w:spacing w:line="220" w:lineRule="atLeast"/>
        <w:ind w:firstLineChars="200" w:firstLine="440"/>
        <w:rPr>
          <w:rFonts w:ascii="黑体" w:eastAsia="黑体" w:hAnsi="黑体"/>
          <w:sz w:val="18"/>
          <w:szCs w:val="18"/>
        </w:rPr>
      </w:pPr>
      <w:hyperlink r:id="rId15" w:history="1">
        <w:r w:rsidR="002A45D1" w:rsidRPr="000F335A">
          <w:rPr>
            <w:rStyle w:val="a5"/>
            <w:rFonts w:ascii="黑体" w:eastAsia="黑体" w:hAnsi="黑体"/>
            <w:sz w:val="18"/>
            <w:szCs w:val="18"/>
          </w:rPr>
          <w:t>http://www.iresearch.cn/</w:t>
        </w:r>
      </w:hyperlink>
    </w:p>
    <w:p w:rsidR="002A45D1" w:rsidRDefault="001A4487" w:rsidP="00440962">
      <w:pPr>
        <w:spacing w:line="220" w:lineRule="atLeast"/>
        <w:ind w:firstLineChars="200" w:firstLine="440"/>
        <w:rPr>
          <w:rFonts w:ascii="黑体" w:eastAsia="黑体" w:hAnsi="黑体"/>
          <w:sz w:val="18"/>
          <w:szCs w:val="18"/>
        </w:rPr>
      </w:pPr>
      <w:hyperlink r:id="rId16" w:history="1">
        <w:r w:rsidR="002A45D1" w:rsidRPr="000F335A">
          <w:rPr>
            <w:rStyle w:val="a5"/>
            <w:rFonts w:ascii="黑体" w:eastAsia="黑体" w:hAnsi="黑体"/>
            <w:sz w:val="18"/>
            <w:szCs w:val="18"/>
          </w:rPr>
          <w:t>http://www.cngold.org/</w:t>
        </w:r>
      </w:hyperlink>
    </w:p>
    <w:p w:rsidR="002A45D1" w:rsidRDefault="001A4487" w:rsidP="00440962">
      <w:pPr>
        <w:spacing w:line="220" w:lineRule="atLeast"/>
        <w:ind w:firstLineChars="200" w:firstLine="440"/>
        <w:rPr>
          <w:rFonts w:ascii="黑体" w:eastAsia="黑体" w:hAnsi="黑体"/>
          <w:sz w:val="18"/>
          <w:szCs w:val="18"/>
        </w:rPr>
      </w:pPr>
      <w:hyperlink r:id="rId17" w:history="1">
        <w:r w:rsidR="002A45D1" w:rsidRPr="000F335A">
          <w:rPr>
            <w:rStyle w:val="a5"/>
            <w:rFonts w:ascii="黑体" w:eastAsia="黑体" w:hAnsi="黑体"/>
            <w:sz w:val="18"/>
            <w:szCs w:val="18"/>
          </w:rPr>
          <w:t>http://finance.sina.com.cn/</w:t>
        </w:r>
      </w:hyperlink>
    </w:p>
    <w:p w:rsidR="002A45D1" w:rsidRDefault="001A4487" w:rsidP="00440962">
      <w:pPr>
        <w:spacing w:line="220" w:lineRule="atLeast"/>
        <w:ind w:firstLineChars="200" w:firstLine="440"/>
        <w:rPr>
          <w:rFonts w:ascii="黑体" w:eastAsia="黑体" w:hAnsi="黑体"/>
          <w:sz w:val="18"/>
          <w:szCs w:val="18"/>
        </w:rPr>
      </w:pPr>
      <w:hyperlink r:id="rId18" w:history="1">
        <w:r w:rsidR="002A45D1" w:rsidRPr="000F335A">
          <w:rPr>
            <w:rStyle w:val="a5"/>
            <w:rFonts w:ascii="黑体" w:eastAsia="黑体" w:hAnsi="黑体"/>
            <w:sz w:val="18"/>
            <w:szCs w:val="18"/>
          </w:rPr>
          <w:t>http://www.boc.cn/</w:t>
        </w:r>
      </w:hyperlink>
    </w:p>
    <w:p w:rsidR="002A45D1" w:rsidRDefault="001A4487" w:rsidP="00440962">
      <w:pPr>
        <w:spacing w:line="220" w:lineRule="atLeast"/>
        <w:ind w:firstLineChars="200" w:firstLine="440"/>
        <w:rPr>
          <w:rFonts w:ascii="黑体" w:eastAsia="黑体" w:hAnsi="黑体"/>
          <w:sz w:val="18"/>
          <w:szCs w:val="18"/>
        </w:rPr>
      </w:pPr>
      <w:hyperlink r:id="rId19" w:history="1">
        <w:r w:rsidR="002A45D1" w:rsidRPr="000F335A">
          <w:rPr>
            <w:rStyle w:val="a5"/>
            <w:rFonts w:ascii="黑体" w:eastAsia="黑体" w:hAnsi="黑体"/>
            <w:sz w:val="18"/>
            <w:szCs w:val="18"/>
          </w:rPr>
          <w:t>http://money.163.com/</w:t>
        </w:r>
      </w:hyperlink>
    </w:p>
    <w:p w:rsidR="002A45D1" w:rsidRPr="00D92B61" w:rsidRDefault="002A45D1" w:rsidP="002A45D1">
      <w:pPr>
        <w:spacing w:line="220" w:lineRule="atLeast"/>
        <w:ind w:firstLineChars="200" w:firstLine="360"/>
        <w:rPr>
          <w:rFonts w:ascii="黑体" w:eastAsia="黑体" w:hAnsi="黑体"/>
          <w:sz w:val="18"/>
          <w:szCs w:val="18"/>
        </w:rPr>
      </w:pPr>
    </w:p>
    <w:sectPr w:rsidR="002A45D1" w:rsidRPr="00D92B61"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8E3" w:rsidRDefault="004A08E3" w:rsidP="00054611">
      <w:pPr>
        <w:spacing w:after="0"/>
      </w:pPr>
      <w:r>
        <w:separator/>
      </w:r>
    </w:p>
  </w:endnote>
  <w:endnote w:type="continuationSeparator" w:id="0">
    <w:p w:rsidR="004A08E3" w:rsidRDefault="004A08E3" w:rsidP="0005461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8E3" w:rsidRDefault="004A08E3" w:rsidP="00054611">
      <w:pPr>
        <w:spacing w:after="0"/>
      </w:pPr>
      <w:r>
        <w:separator/>
      </w:r>
    </w:p>
  </w:footnote>
  <w:footnote w:type="continuationSeparator" w:id="0">
    <w:p w:rsidR="004A08E3" w:rsidRDefault="004A08E3" w:rsidP="0005461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9F7DEC"/>
    <w:multiLevelType w:val="hybridMultilevel"/>
    <w:tmpl w:val="A4725D7E"/>
    <w:lvl w:ilvl="0" w:tplc="835289D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28D7E8F"/>
    <w:multiLevelType w:val="hybridMultilevel"/>
    <w:tmpl w:val="A238B970"/>
    <w:lvl w:ilvl="0" w:tplc="A60CA47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3554">
      <o:colormenu v:ext="edit" fillcolor="none [660]"/>
    </o:shapedefaults>
  </w:hdrShapeDefaults>
  <w:footnotePr>
    <w:footnote w:id="-1"/>
    <w:footnote w:id="0"/>
  </w:footnotePr>
  <w:endnotePr>
    <w:endnote w:id="-1"/>
    <w:endnote w:id="0"/>
  </w:endnotePr>
  <w:compat>
    <w:useFELayout/>
  </w:compat>
  <w:rsids>
    <w:rsidRoot w:val="00D31D50"/>
    <w:rsid w:val="00054611"/>
    <w:rsid w:val="000701D0"/>
    <w:rsid w:val="00076BD7"/>
    <w:rsid w:val="00094BD6"/>
    <w:rsid w:val="000B63C3"/>
    <w:rsid w:val="000D5BE4"/>
    <w:rsid w:val="0013082B"/>
    <w:rsid w:val="00130AD6"/>
    <w:rsid w:val="0015718A"/>
    <w:rsid w:val="001A4487"/>
    <w:rsid w:val="001E3AF8"/>
    <w:rsid w:val="00222651"/>
    <w:rsid w:val="002A45D1"/>
    <w:rsid w:val="002B0417"/>
    <w:rsid w:val="002F3EE1"/>
    <w:rsid w:val="00315F2C"/>
    <w:rsid w:val="00323B43"/>
    <w:rsid w:val="003320C9"/>
    <w:rsid w:val="003804ED"/>
    <w:rsid w:val="003859F9"/>
    <w:rsid w:val="003B084C"/>
    <w:rsid w:val="003D37D8"/>
    <w:rsid w:val="003D5924"/>
    <w:rsid w:val="003E0BCB"/>
    <w:rsid w:val="003F036F"/>
    <w:rsid w:val="00403D50"/>
    <w:rsid w:val="00426133"/>
    <w:rsid w:val="004358AB"/>
    <w:rsid w:val="00440962"/>
    <w:rsid w:val="004425DB"/>
    <w:rsid w:val="004574C6"/>
    <w:rsid w:val="00460E17"/>
    <w:rsid w:val="004A08E3"/>
    <w:rsid w:val="004E51E2"/>
    <w:rsid w:val="004F7231"/>
    <w:rsid w:val="00532D2E"/>
    <w:rsid w:val="00553EC1"/>
    <w:rsid w:val="00557321"/>
    <w:rsid w:val="00564609"/>
    <w:rsid w:val="00630339"/>
    <w:rsid w:val="00657BBC"/>
    <w:rsid w:val="00663EA8"/>
    <w:rsid w:val="00690D66"/>
    <w:rsid w:val="006A3EE5"/>
    <w:rsid w:val="006C2DBE"/>
    <w:rsid w:val="007076CF"/>
    <w:rsid w:val="00737929"/>
    <w:rsid w:val="0075129C"/>
    <w:rsid w:val="00757BD1"/>
    <w:rsid w:val="00764089"/>
    <w:rsid w:val="00766FFC"/>
    <w:rsid w:val="0077256F"/>
    <w:rsid w:val="00791CDD"/>
    <w:rsid w:val="007A2732"/>
    <w:rsid w:val="007D166F"/>
    <w:rsid w:val="007D28DE"/>
    <w:rsid w:val="007D78A3"/>
    <w:rsid w:val="008016C1"/>
    <w:rsid w:val="00810D23"/>
    <w:rsid w:val="00837257"/>
    <w:rsid w:val="00841724"/>
    <w:rsid w:val="008455BB"/>
    <w:rsid w:val="00884486"/>
    <w:rsid w:val="00894E9B"/>
    <w:rsid w:val="008A5B87"/>
    <w:rsid w:val="008B7726"/>
    <w:rsid w:val="008B7A68"/>
    <w:rsid w:val="008D337B"/>
    <w:rsid w:val="008E6AA5"/>
    <w:rsid w:val="008F7C9F"/>
    <w:rsid w:val="00900601"/>
    <w:rsid w:val="009150B6"/>
    <w:rsid w:val="00917731"/>
    <w:rsid w:val="0094306E"/>
    <w:rsid w:val="00977DEF"/>
    <w:rsid w:val="009A4857"/>
    <w:rsid w:val="009E572D"/>
    <w:rsid w:val="00A2168E"/>
    <w:rsid w:val="00A454D4"/>
    <w:rsid w:val="00AC0DEA"/>
    <w:rsid w:val="00AC164B"/>
    <w:rsid w:val="00AF2D95"/>
    <w:rsid w:val="00B217BD"/>
    <w:rsid w:val="00B51C63"/>
    <w:rsid w:val="00BC2715"/>
    <w:rsid w:val="00BD6C1F"/>
    <w:rsid w:val="00BE0215"/>
    <w:rsid w:val="00C5355C"/>
    <w:rsid w:val="00C85C97"/>
    <w:rsid w:val="00C91D43"/>
    <w:rsid w:val="00CA789C"/>
    <w:rsid w:val="00CF749F"/>
    <w:rsid w:val="00D31D50"/>
    <w:rsid w:val="00D54789"/>
    <w:rsid w:val="00D6215B"/>
    <w:rsid w:val="00D90006"/>
    <w:rsid w:val="00D92B61"/>
    <w:rsid w:val="00DE50F6"/>
    <w:rsid w:val="00DE6F21"/>
    <w:rsid w:val="00DF48F1"/>
    <w:rsid w:val="00E21EBE"/>
    <w:rsid w:val="00E96C41"/>
    <w:rsid w:val="00ED09ED"/>
    <w:rsid w:val="00EE7981"/>
    <w:rsid w:val="00F07742"/>
    <w:rsid w:val="00FB46FA"/>
    <w:rsid w:val="00FF53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colormenu v:ext="edit" fillcolor="none [6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0D66"/>
    <w:pPr>
      <w:ind w:firstLineChars="200" w:firstLine="420"/>
    </w:pPr>
  </w:style>
  <w:style w:type="paragraph" w:styleId="a4">
    <w:name w:val="Balloon Text"/>
    <w:basedOn w:val="a"/>
    <w:link w:val="Char"/>
    <w:uiPriority w:val="99"/>
    <w:semiHidden/>
    <w:unhideWhenUsed/>
    <w:rsid w:val="000D5BE4"/>
    <w:pPr>
      <w:spacing w:after="0"/>
    </w:pPr>
    <w:rPr>
      <w:sz w:val="18"/>
      <w:szCs w:val="18"/>
    </w:rPr>
  </w:style>
  <w:style w:type="character" w:customStyle="1" w:styleId="Char">
    <w:name w:val="批注框文本 Char"/>
    <w:basedOn w:val="a0"/>
    <w:link w:val="a4"/>
    <w:uiPriority w:val="99"/>
    <w:semiHidden/>
    <w:rsid w:val="000D5BE4"/>
    <w:rPr>
      <w:rFonts w:ascii="Tahoma" w:hAnsi="Tahoma"/>
      <w:sz w:val="18"/>
      <w:szCs w:val="18"/>
    </w:rPr>
  </w:style>
  <w:style w:type="character" w:styleId="a5">
    <w:name w:val="Hyperlink"/>
    <w:basedOn w:val="a0"/>
    <w:uiPriority w:val="99"/>
    <w:unhideWhenUsed/>
    <w:rsid w:val="00054611"/>
    <w:rPr>
      <w:color w:val="0000FF" w:themeColor="hyperlink"/>
      <w:u w:val="single"/>
    </w:rPr>
  </w:style>
  <w:style w:type="paragraph" w:styleId="a6">
    <w:name w:val="header"/>
    <w:basedOn w:val="a"/>
    <w:link w:val="Char0"/>
    <w:uiPriority w:val="99"/>
    <w:semiHidden/>
    <w:unhideWhenUsed/>
    <w:rsid w:val="00054611"/>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6"/>
    <w:uiPriority w:val="99"/>
    <w:semiHidden/>
    <w:rsid w:val="00054611"/>
    <w:rPr>
      <w:rFonts w:ascii="Tahoma" w:hAnsi="Tahoma"/>
      <w:sz w:val="18"/>
      <w:szCs w:val="18"/>
    </w:rPr>
  </w:style>
  <w:style w:type="paragraph" w:styleId="a7">
    <w:name w:val="footer"/>
    <w:basedOn w:val="a"/>
    <w:link w:val="Char1"/>
    <w:uiPriority w:val="99"/>
    <w:semiHidden/>
    <w:unhideWhenUsed/>
    <w:rsid w:val="00054611"/>
    <w:pPr>
      <w:tabs>
        <w:tab w:val="center" w:pos="4153"/>
        <w:tab w:val="right" w:pos="8306"/>
      </w:tabs>
    </w:pPr>
    <w:rPr>
      <w:sz w:val="18"/>
      <w:szCs w:val="18"/>
    </w:rPr>
  </w:style>
  <w:style w:type="character" w:customStyle="1" w:styleId="Char1">
    <w:name w:val="页脚 Char"/>
    <w:basedOn w:val="a0"/>
    <w:link w:val="a7"/>
    <w:uiPriority w:val="99"/>
    <w:semiHidden/>
    <w:rsid w:val="00054611"/>
    <w:rPr>
      <w:rFonts w:ascii="Tahoma" w:hAnsi="Tahoma"/>
      <w:sz w:val="18"/>
      <w:szCs w:val="18"/>
    </w:rPr>
  </w:style>
  <w:style w:type="character" w:styleId="a8">
    <w:name w:val="FollowedHyperlink"/>
    <w:basedOn w:val="a0"/>
    <w:uiPriority w:val="99"/>
    <w:semiHidden/>
    <w:unhideWhenUsed/>
    <w:rsid w:val="00054611"/>
    <w:rPr>
      <w:color w:val="800080" w:themeColor="followedHyperlink"/>
      <w:u w:val="single"/>
    </w:rPr>
  </w:style>
  <w:style w:type="table" w:styleId="a9">
    <w:name w:val="Table Grid"/>
    <w:basedOn w:val="a1"/>
    <w:uiPriority w:val="59"/>
    <w:rsid w:val="007725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www.boc.c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finance.sina.com.cn/" TargetMode="External"/><Relationship Id="rId2" Type="http://schemas.openxmlformats.org/officeDocument/2006/relationships/styles" Target="styles.xml"/><Relationship Id="rId16" Type="http://schemas.openxmlformats.org/officeDocument/2006/relationships/hyperlink" Target="http://www.cngold.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iresearch.cn/" TargetMode="External"/><Relationship Id="rId10" Type="http://schemas.openxmlformats.org/officeDocument/2006/relationships/image" Target="media/image4.png"/><Relationship Id="rId19" Type="http://schemas.openxmlformats.org/officeDocument/2006/relationships/hyperlink" Target="http://money.163.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1297</TotalTime>
  <Pages>12</Pages>
  <Words>873</Words>
  <Characters>4979</Characters>
  <Application>Microsoft Office Word</Application>
  <DocSecurity>0</DocSecurity>
  <Lines>41</Lines>
  <Paragraphs>11</Paragraphs>
  <ScaleCrop>false</ScaleCrop>
  <Company/>
  <LinksUpToDate>false</LinksUpToDate>
  <CharactersWithSpaces>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cp:revision>
  <dcterms:created xsi:type="dcterms:W3CDTF">2016-04-05T15:03:00Z</dcterms:created>
  <dcterms:modified xsi:type="dcterms:W3CDTF">2016-04-13T04:07:00Z</dcterms:modified>
</cp:coreProperties>
</file>